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wordWrap w:val="0"/>
        <w:autoSpaceDE/>
        <w:autoSpaceDN/>
        <w:spacing w:before="280" w:beforeAutospacing="1" w:after="280" w:afterAutospacing="1" w:line="300" w:lineRule="exact"/>
        <w:ind w:right="0" w:firstLine="0"/>
        <w:jc w:val="right"/>
        <w:rPr>
          <w:rFonts w:hint="default" w:ascii="宋体" w:hAnsi="宋体" w:eastAsia="宋体"/>
          <w:color w:val="auto"/>
          <w:position w:val="0"/>
          <w:sz w:val="24"/>
          <w:szCs w:val="24"/>
        </w:rPr>
      </w:pPr>
      <w:r>
        <w:rPr>
          <w:rFonts w:hint="default" w:ascii="宋体" w:hAnsi="宋体" w:eastAsia="宋体"/>
          <w:color w:val="auto"/>
          <w:position w:val="0"/>
          <w:sz w:val="24"/>
          <w:szCs w:val="24"/>
        </w:rPr>
        <w:t>附件一</w:t>
      </w:r>
    </w:p>
    <w:p>
      <w:pPr>
        <w:numPr>
          <w:ilvl w:val="0"/>
          <w:numId w:val="0"/>
        </w:numPr>
        <w:wordWrap w:val="0"/>
        <w:autoSpaceDE/>
        <w:autoSpaceDN/>
        <w:spacing w:before="0" w:after="160" w:line="500" w:lineRule="exact"/>
        <w:ind w:right="0" w:firstLine="0"/>
        <w:jc w:val="center"/>
        <w:rPr>
          <w:rFonts w:hint="default" w:ascii="Times New Roman" w:hAnsi="Times New Roman" w:eastAsia="Times New Roman"/>
          <w:color w:val="auto"/>
          <w:position w:val="0"/>
          <w:sz w:val="36"/>
          <w:szCs w:val="36"/>
        </w:rPr>
      </w:pPr>
      <w:r>
        <w:rPr>
          <w:rFonts w:hint="default" w:ascii="Times New Roman" w:hAnsi="Times New Roman" w:eastAsia="Times New Roman"/>
          <w:color w:val="auto"/>
          <w:position w:val="0"/>
          <w:sz w:val="36"/>
          <w:szCs w:val="36"/>
        </w:rPr>
        <w:t>豪丰制桶宿舍变配电工程技术要求</w:t>
      </w:r>
    </w:p>
    <w:p>
      <w:pPr>
        <w:numPr>
          <w:ilvl w:val="0"/>
          <w:numId w:val="0"/>
        </w:numPr>
        <w:wordWrap w:val="0"/>
        <w:autoSpaceDE/>
        <w:autoSpaceDN/>
        <w:spacing w:before="0" w:after="160" w:line="240" w:lineRule="auto"/>
        <w:ind w:right="0" w:firstLine="5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一．设计依据</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变配电系统图;</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变配电房土建条件;</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东莞市供电局的有关规定及相关专业设计规范。</w:t>
      </w:r>
    </w:p>
    <w:p>
      <w:pPr>
        <w:numPr>
          <w:ilvl w:val="0"/>
          <w:numId w:val="0"/>
        </w:numPr>
        <w:wordWrap w:val="0"/>
        <w:autoSpaceDE/>
        <w:autoSpaceDN/>
        <w:spacing w:before="0" w:after="160" w:line="240" w:lineRule="auto"/>
        <w:ind w:left="359" w:right="0" w:firstLine="28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二．设计内容</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10KV高压进线电缆部分的深化设计;</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10KV配电部分的深化设计;</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高压配电柜至低压配电柜止的0.4KV配电部分的深化设计;</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变配电房的照明、通风、消防的深化设计;</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变配电房的设备基础的深化设计;</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深化后的施工图须符合当地供电部门的相关规定，能通过供电等相关部门的竣工验收。请在投标文件中提供深化设计说明。</w:t>
      </w:r>
    </w:p>
    <w:p>
      <w:pPr>
        <w:numPr>
          <w:ilvl w:val="0"/>
          <w:numId w:val="0"/>
        </w:numPr>
        <w:wordWrap w:val="0"/>
        <w:autoSpaceDE/>
        <w:autoSpaceDN/>
        <w:spacing w:before="0" w:after="160" w:line="240" w:lineRule="auto"/>
        <w:ind w:right="0" w:firstLine="5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三．设计图纸</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高低压配电系统图;</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变配电房平面布置图;</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变配电房照明平面图;</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变配电房接地平面图;</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变配电房设备基础图;</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变配电房通风平面图;</w:t>
      </w:r>
    </w:p>
    <w:p>
      <w:pPr>
        <w:numPr>
          <w:ilvl w:val="1"/>
          <w:numId w:val="1"/>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安装大样图;</w:t>
      </w:r>
    </w:p>
    <w:p>
      <w:pPr>
        <w:numPr>
          <w:ilvl w:val="0"/>
          <w:numId w:val="0"/>
        </w:numPr>
        <w:wordWrap w:val="0"/>
        <w:autoSpaceDE/>
        <w:autoSpaceDN/>
        <w:spacing w:before="0" w:after="160" w:line="240" w:lineRule="auto"/>
        <w:ind w:right="0" w:firstLine="5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四．工程施工</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①10KV高压进线电缆部分的设计与施工(包括防水水封封堵);</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②10KV配电部分的设计与施工;</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③高压配电柜至低压配电柜止的0.4KV配电部分的设计与施工，不包括低压配电柜至柴油发电机组的母线槽设计与施工;</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④变配电房的照明、通风设计与施工;</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⑤变配电房内与变配电设备有关的相关安装工程(如配电屏前的绝缘橡胶板、钢构基础、设备接地等);</w:t>
      </w:r>
    </w:p>
    <w:p>
      <w:pPr>
        <w:numPr>
          <w:ilvl w:val="0"/>
          <w:numId w:val="0"/>
        </w:numPr>
        <w:wordWrap w:val="0"/>
        <w:autoSpaceDE/>
        <w:autoSpaceDN/>
        <w:spacing w:before="0" w:after="160" w:line="240" w:lineRule="auto"/>
        <w:ind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 xml:space="preserve">      ⑥整个变配电工程的报装及验收事宜。</w:t>
      </w: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r>
        <w:rPr>
          <w:rFonts w:hint="default" w:ascii="宋体" w:hAnsi="宋体" w:eastAsia="宋体"/>
          <w:color w:val="auto"/>
          <w:position w:val="0"/>
          <w:sz w:val="28"/>
          <w:szCs w:val="28"/>
        </w:rPr>
        <w:t>五．《设计图纸》（见电子版）。</w:t>
      </w: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r>
        <w:rPr>
          <w:rFonts w:hint="default" w:ascii="宋体" w:hAnsi="宋体" w:eastAsia="宋体"/>
          <w:color w:val="auto"/>
          <w:position w:val="0"/>
          <w:sz w:val="28"/>
          <w:szCs w:val="28"/>
        </w:rPr>
        <w:t xml:space="preserve">     注：此图纸未经供电部门认可，投标单位须根据政府相关主管部门的要求完善设计。</w:t>
      </w:r>
    </w:p>
    <w:p>
      <w:pPr>
        <w:numPr>
          <w:ilvl w:val="0"/>
          <w:numId w:val="0"/>
        </w:numPr>
        <w:tabs>
          <w:tab w:val="left" w:pos="312"/>
        </w:tabs>
        <w:wordWrap w:val="0"/>
        <w:autoSpaceDE/>
        <w:autoSpaceDN/>
        <w:bidi w:val="0"/>
        <w:spacing w:before="0" w:after="0" w:line="240" w:lineRule="auto"/>
        <w:ind w:right="0" w:firstLine="0"/>
        <w:jc w:val="left"/>
        <w:rPr>
          <w:rFonts w:hint="default" w:ascii="宋体" w:hAnsi="宋体" w:eastAsia="宋体"/>
          <w:color w:val="auto"/>
          <w:position w:val="0"/>
          <w:sz w:val="28"/>
          <w:szCs w:val="28"/>
        </w:rPr>
      </w:pPr>
      <w:r>
        <w:rPr>
          <w:rFonts w:hint="default" w:ascii="宋体" w:hAnsi="宋体" w:eastAsia="宋体"/>
          <w:color w:val="auto"/>
          <w:position w:val="0"/>
          <w:sz w:val="28"/>
          <w:szCs w:val="28"/>
        </w:rPr>
        <w:t>六、智能电表基本要求</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1.分时计量正反向有无功计量功能和四象限无功计量功能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2.</w:t>
      </w:r>
      <w:r>
        <w:rPr>
          <w:rFonts w:hint="default" w:ascii="宋体" w:hAnsi="宋体" w:eastAsia="宋体"/>
          <w:b/>
          <w:color w:val="auto"/>
          <w:spacing w:val="0"/>
          <w:position w:val="0"/>
          <w:sz w:val="28"/>
          <w:szCs w:val="28"/>
        </w:rPr>
        <w:t>多种费率：</w:t>
      </w:r>
      <w:r>
        <w:rPr>
          <w:rFonts w:hint="default" w:ascii="宋体" w:hAnsi="宋体" w:eastAsia="宋体"/>
          <w:color w:val="auto"/>
          <w:spacing w:val="0"/>
          <w:position w:val="0"/>
          <w:sz w:val="28"/>
          <w:szCs w:val="28"/>
        </w:rPr>
        <w:t>四费率、四时区、10个时段、5个日时段表</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3.当前、上月、上上月</w:t>
      </w:r>
      <w:r>
        <w:rPr>
          <w:rFonts w:hint="default" w:ascii="宋体" w:hAnsi="宋体" w:eastAsia="宋体"/>
          <w:b/>
          <w:color w:val="auto"/>
          <w:spacing w:val="0"/>
          <w:position w:val="0"/>
          <w:sz w:val="28"/>
          <w:szCs w:val="28"/>
        </w:rPr>
        <w:t>电量最大需量及发生时间记录功能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4.时区电量冻结和即时、零点电量冻结功能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5.手动和自动需量清零功能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6.12个月有无功电量结算功能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7.节假日、周休日设置功能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8.断相指示功能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9.光、声报警设置功能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10.手动、</w:t>
      </w:r>
      <w:r>
        <w:rPr>
          <w:rFonts w:hint="default" w:ascii="宋体" w:hAnsi="宋体" w:eastAsia="宋体"/>
          <w:b/>
          <w:color w:val="auto"/>
          <w:spacing w:val="0"/>
          <w:position w:val="0"/>
          <w:sz w:val="28"/>
          <w:szCs w:val="28"/>
        </w:rPr>
        <w:t>红外唤醒功能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11.</w:t>
      </w:r>
      <w:r>
        <w:rPr>
          <w:rFonts w:hint="default" w:ascii="宋体" w:hAnsi="宋体" w:eastAsia="宋体"/>
          <w:b/>
          <w:color w:val="auto"/>
          <w:spacing w:val="0"/>
          <w:position w:val="0"/>
          <w:sz w:val="28"/>
          <w:szCs w:val="28"/>
        </w:rPr>
        <w:t>红外RS485抄设表功能</w:t>
      </w:r>
      <w:r>
        <w:rPr>
          <w:rFonts w:hint="default" w:ascii="宋体" w:hAnsi="宋体" w:eastAsia="宋体"/>
          <w:color w:val="auto"/>
          <w:spacing w:val="0"/>
          <w:position w:val="0"/>
          <w:sz w:val="28"/>
          <w:szCs w:val="28"/>
        </w:rPr>
        <w:t>（可扩展双RS485接口）</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12.</w:t>
      </w:r>
      <w:r>
        <w:rPr>
          <w:rFonts w:hint="default" w:ascii="宋体" w:hAnsi="宋体" w:eastAsia="宋体"/>
          <w:b/>
          <w:color w:val="auto"/>
          <w:spacing w:val="0"/>
          <w:position w:val="0"/>
          <w:sz w:val="28"/>
          <w:szCs w:val="28"/>
        </w:rPr>
        <w:t>实时测量功能（A、B、C三相电压、电流、功率等）</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13.液晶背光功能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14.轮显和键显任意设置功能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15.时钟温度补偿功能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16.报警错误提示功能  </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17.记录当前的铜损和铁损参考值功能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18.表盖开盖记录功能</w:t>
      </w:r>
    </w:p>
    <w:p>
      <w:pPr>
        <w:pageBreakBefore w:val="0"/>
        <w:numPr>
          <w:ilvl w:val="0"/>
          <w:numId w:val="0"/>
        </w:numPr>
        <w:wordWrap w:val="0"/>
        <w:autoSpaceDE/>
        <w:autoSpaceDN/>
        <w:bidi w:val="0"/>
        <w:snapToGrid/>
        <w:spacing w:before="0" w:after="0" w:line="240" w:lineRule="atLeast"/>
        <w:ind w:right="0" w:firstLine="56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19.七类负荷曲线</w:t>
      </w:r>
      <w:r>
        <w:rPr>
          <w:rFonts w:hint="default" w:ascii="宋体" w:hAnsi="宋体" w:eastAsia="宋体"/>
          <w:b/>
          <w:color w:val="auto"/>
          <w:spacing w:val="0"/>
          <w:position w:val="0"/>
          <w:sz w:val="28"/>
          <w:szCs w:val="28"/>
        </w:rPr>
        <w:t>最大存存储量为2MB以上</w:t>
      </w:r>
      <w:r>
        <w:rPr>
          <w:rFonts w:hint="default" w:ascii="宋体" w:hAnsi="宋体" w:eastAsia="宋体"/>
          <w:color w:val="auto"/>
          <w:spacing w:val="0"/>
          <w:position w:val="0"/>
          <w:sz w:val="28"/>
          <w:szCs w:val="28"/>
        </w:rPr>
        <w:t xml:space="preserve">(如果间隔为15分钟，可记录100天以上) </w:t>
      </w:r>
    </w:p>
    <w:p>
      <w:pPr>
        <w:pageBreakBefore w:val="0"/>
        <w:numPr>
          <w:ilvl w:val="0"/>
          <w:numId w:val="0"/>
        </w:numPr>
        <w:wordWrap w:val="0"/>
        <w:autoSpaceDE/>
        <w:autoSpaceDN/>
        <w:bidi w:val="0"/>
        <w:snapToGrid/>
        <w:spacing w:before="0" w:after="0" w:line="240" w:lineRule="atLeast"/>
        <w:ind w:right="0" w:firstLine="56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20、事件记录功能（如三相无电压，失压、失流等）</w:t>
      </w:r>
    </w:p>
    <w:p>
      <w:pPr>
        <w:pageBreakBefore w:val="0"/>
        <w:numPr>
          <w:ilvl w:val="0"/>
          <w:numId w:val="0"/>
        </w:numPr>
        <w:wordWrap w:val="0"/>
        <w:autoSpaceDE/>
        <w:autoSpaceDN/>
        <w:bidi w:val="0"/>
        <w:snapToGrid/>
        <w:spacing w:before="0" w:after="0" w:line="240" w:lineRule="atLeast"/>
        <w:ind w:right="0" w:firstLine="56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21、三相四线制</w:t>
      </w:r>
    </w:p>
    <w:p>
      <w:pPr>
        <w:pageBreakBefore w:val="0"/>
        <w:numPr>
          <w:ilvl w:val="0"/>
          <w:numId w:val="0"/>
        </w:numPr>
        <w:wordWrap w:val="0"/>
        <w:autoSpaceDE/>
        <w:autoSpaceDN/>
        <w:bidi w:val="0"/>
        <w:snapToGrid/>
        <w:spacing w:before="0" w:after="0" w:line="240" w:lineRule="atLeast"/>
        <w:ind w:right="0" w:firstLine="560"/>
        <w:jc w:val="both"/>
        <w:rPr>
          <w:rFonts w:hint="default" w:ascii="宋体" w:hAnsi="宋体" w:eastAsia="宋体"/>
          <w:color w:val="auto"/>
          <w:position w:val="0"/>
          <w:sz w:val="28"/>
          <w:szCs w:val="28"/>
        </w:rPr>
      </w:pPr>
      <w:r>
        <w:rPr>
          <w:rFonts w:hint="default" w:ascii="宋体" w:hAnsi="宋体" w:eastAsia="宋体"/>
          <w:color w:val="auto"/>
          <w:spacing w:val="0"/>
          <w:position w:val="0"/>
          <w:sz w:val="28"/>
          <w:szCs w:val="28"/>
        </w:rPr>
        <w:t>22、基本电流及最大电流由安装单位根据互感器确定</w:t>
      </w: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r>
        <w:rPr>
          <w:rFonts w:hint="default" w:ascii="宋体" w:hAnsi="宋体" w:eastAsia="宋体"/>
          <w:color w:val="auto"/>
          <w:position w:val="0"/>
          <w:sz w:val="28"/>
          <w:szCs w:val="28"/>
        </w:rPr>
        <w:t>七．低压断路器分断能力：塑壳式断路器50KA及以上，框架式断路器65KA及以上。</w:t>
      </w: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p>
    <w:p>
      <w:pPr>
        <w:pageBreakBefore w:val="0"/>
        <w:numPr>
          <w:ilvl w:val="0"/>
          <w:numId w:val="0"/>
        </w:numPr>
        <w:wordWrap w:val="0"/>
        <w:autoSpaceDE/>
        <w:autoSpaceDN/>
        <w:bidi w:val="0"/>
        <w:spacing w:before="0" w:after="0" w:line="240" w:lineRule="auto"/>
        <w:ind w:right="0" w:firstLine="0"/>
        <w:jc w:val="both"/>
        <w:rPr>
          <w:rFonts w:hint="default" w:ascii="宋体" w:hAnsi="宋体" w:eastAsia="宋体"/>
          <w:color w:val="auto"/>
          <w:spacing w:val="0"/>
          <w:position w:val="0"/>
          <w:sz w:val="28"/>
          <w:szCs w:val="28"/>
        </w:rPr>
      </w:pPr>
      <w:r>
        <w:rPr>
          <w:rFonts w:hint="default" w:ascii="宋体" w:hAnsi="宋体" w:eastAsia="宋体"/>
          <w:color w:val="auto"/>
          <w:position w:val="0"/>
          <w:sz w:val="28"/>
          <w:szCs w:val="28"/>
        </w:rPr>
        <w:t>八．暂定</w:t>
      </w:r>
      <w:r>
        <w:rPr>
          <w:rFonts w:hint="default" w:ascii="宋体" w:hAnsi="宋体" w:eastAsia="宋体"/>
          <w:color w:val="auto"/>
          <w:spacing w:val="0"/>
          <w:position w:val="0"/>
          <w:sz w:val="28"/>
          <w:szCs w:val="28"/>
        </w:rPr>
        <w:t>品牌：</w:t>
      </w:r>
    </w:p>
    <w:tbl>
      <w:tblPr>
        <w:tblStyle w:val="26"/>
        <w:tblpPr w:leftFromText="180" w:rightFromText="180" w:vertAnchor="text" w:horzAnchor="page" w:tblpX="1240" w:tblpY="170"/>
        <w:tblW w:w="94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0"/>
        <w:gridCol w:w="1170"/>
        <w:gridCol w:w="4035"/>
        <w:gridCol w:w="1650"/>
        <w:gridCol w:w="20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5"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序号</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名   称</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品牌</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型号及要求</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0"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变压器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b w:val="0"/>
                <w:color w:val="auto"/>
                <w:spacing w:val="0"/>
                <w:position w:val="0"/>
                <w:sz w:val="28"/>
                <w:szCs w:val="28"/>
              </w:rPr>
            </w:pPr>
            <w:r>
              <w:rPr>
                <w:rFonts w:hint="default" w:ascii="Times New Roman" w:hAnsi="宋体" w:eastAsia="宋体"/>
                <w:b w:val="0"/>
                <w:color w:val="auto"/>
                <w:spacing w:val="0"/>
                <w:position w:val="0"/>
                <w:sz w:val="28"/>
                <w:szCs w:val="28"/>
              </w:rPr>
              <w:t>许继电气、江苏中电、 海鸿</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SCB12</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高低压线圈全部用铜铂或铜线绕制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0"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2</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高压电缆</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val="0"/>
                <w:color w:val="auto"/>
                <w:spacing w:val="0"/>
                <w:position w:val="0"/>
                <w:sz w:val="21"/>
                <w:szCs w:val="21"/>
              </w:rPr>
            </w:pPr>
            <w:r>
              <w:rPr>
                <w:rFonts w:hint="default" w:ascii="Times New Roman" w:hAnsi="宋体" w:eastAsia="宋体"/>
                <w:b w:val="0"/>
                <w:color w:val="auto"/>
                <w:spacing w:val="0"/>
                <w:position w:val="0"/>
                <w:sz w:val="28"/>
                <w:szCs w:val="28"/>
              </w:rPr>
              <w:t>广东电缆厂、南洋、新南达电缆</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含铜99%以上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85"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3</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密集型母线槽</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color w:val="auto"/>
                <w:spacing w:val="0"/>
                <w:position w:val="0"/>
                <w:sz w:val="21"/>
                <w:szCs w:val="21"/>
              </w:rPr>
            </w:pPr>
            <w:r>
              <w:rPr>
                <w:rFonts w:hint="default" w:ascii="Times New Roman" w:hAnsi="宋体" w:eastAsia="宋体"/>
                <w:b w:val="0"/>
                <w:color w:val="auto"/>
                <w:spacing w:val="0"/>
                <w:position w:val="0"/>
                <w:sz w:val="24"/>
                <w:szCs w:val="24"/>
              </w:rPr>
              <w:t>顺德默勒夫、广州半径、</w:t>
            </w:r>
            <w:r>
              <w:rPr>
                <w:rFonts w:hint="default" w:ascii="Times New Roman" w:hAnsi="宋体" w:eastAsia="宋体"/>
                <w:color w:val="auto"/>
                <w:spacing w:val="0"/>
                <w:position w:val="0"/>
                <w:sz w:val="28"/>
                <w:szCs w:val="28"/>
              </w:rPr>
              <w:t>江苏华鹏</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国标全铜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4</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高压配电柜</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eastAsia" w:ascii="Times New Roman" w:hAnsi="宋体" w:eastAsia="宋体"/>
                <w:b w:val="0"/>
                <w:color w:val="auto"/>
                <w:spacing w:val="0"/>
                <w:position w:val="0"/>
                <w:sz w:val="28"/>
                <w:szCs w:val="28"/>
                <w:lang w:eastAsia="zh-CN"/>
              </w:rPr>
            </w:pPr>
            <w:r>
              <w:rPr>
                <w:rFonts w:hint="eastAsia" w:ascii="Times New Roman" w:hAnsi="宋体" w:eastAsia="宋体"/>
                <w:b w:val="0"/>
                <w:color w:val="auto"/>
                <w:spacing w:val="0"/>
                <w:position w:val="0"/>
                <w:sz w:val="28"/>
                <w:szCs w:val="28"/>
                <w:lang w:eastAsia="zh-CN"/>
              </w:rPr>
              <w:t>广州白云</w:t>
            </w:r>
            <w:r>
              <w:rPr>
                <w:rFonts w:hint="default" w:ascii="Times New Roman" w:hAnsi="宋体" w:eastAsia="宋体"/>
                <w:b w:val="0"/>
                <w:color w:val="auto"/>
                <w:spacing w:val="0"/>
                <w:position w:val="0"/>
                <w:sz w:val="28"/>
                <w:szCs w:val="28"/>
              </w:rPr>
              <w:t>、</w:t>
            </w:r>
            <w:r>
              <w:rPr>
                <w:rFonts w:hint="eastAsia" w:ascii="Times New Roman" w:hAnsi="宋体" w:eastAsia="宋体"/>
                <w:b w:val="0"/>
                <w:color w:val="auto"/>
                <w:spacing w:val="0"/>
                <w:position w:val="0"/>
                <w:sz w:val="28"/>
                <w:szCs w:val="28"/>
                <w:lang w:eastAsia="zh-CN"/>
              </w:rPr>
              <w:t>罗格朗</w:t>
            </w:r>
            <w:r>
              <w:rPr>
                <w:rFonts w:hint="default" w:ascii="Times New Roman" w:hAnsi="宋体" w:eastAsia="宋体"/>
                <w:b w:val="0"/>
                <w:color w:val="auto"/>
                <w:spacing w:val="0"/>
                <w:position w:val="0"/>
                <w:sz w:val="28"/>
                <w:szCs w:val="28"/>
              </w:rPr>
              <w:t>、</w:t>
            </w:r>
            <w:r>
              <w:rPr>
                <w:rFonts w:hint="eastAsia" w:ascii="Times New Roman" w:hAnsi="宋体" w:eastAsia="宋体"/>
                <w:b w:val="0"/>
                <w:color w:val="auto"/>
                <w:spacing w:val="0"/>
                <w:position w:val="0"/>
                <w:sz w:val="28"/>
                <w:szCs w:val="28"/>
                <w:lang w:eastAsia="zh-CN"/>
              </w:rPr>
              <w:t>许继</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XGN-12/KYN-28</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南网入围品牌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4"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5</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低压配电柜</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val="0"/>
                <w:color w:val="auto"/>
                <w:spacing w:val="0"/>
                <w:position w:val="0"/>
                <w:sz w:val="28"/>
                <w:szCs w:val="28"/>
              </w:rPr>
            </w:pPr>
            <w:r>
              <w:rPr>
                <w:rFonts w:hint="eastAsia" w:ascii="Times New Roman" w:hAnsi="宋体" w:eastAsia="宋体"/>
                <w:b w:val="0"/>
                <w:color w:val="auto"/>
                <w:spacing w:val="0"/>
                <w:position w:val="0"/>
                <w:sz w:val="28"/>
                <w:szCs w:val="28"/>
                <w:lang w:eastAsia="zh-CN"/>
              </w:rPr>
              <w:t>广州白云</w:t>
            </w:r>
            <w:r>
              <w:rPr>
                <w:rFonts w:hint="default" w:ascii="Times New Roman" w:hAnsi="宋体" w:eastAsia="宋体"/>
                <w:b w:val="0"/>
                <w:color w:val="auto"/>
                <w:spacing w:val="0"/>
                <w:position w:val="0"/>
                <w:sz w:val="28"/>
                <w:szCs w:val="28"/>
              </w:rPr>
              <w:t>、</w:t>
            </w:r>
            <w:r>
              <w:rPr>
                <w:rFonts w:hint="eastAsia" w:ascii="Times New Roman" w:hAnsi="宋体" w:eastAsia="宋体"/>
                <w:b w:val="0"/>
                <w:color w:val="auto"/>
                <w:spacing w:val="0"/>
                <w:position w:val="0"/>
                <w:sz w:val="28"/>
                <w:szCs w:val="28"/>
                <w:lang w:eastAsia="zh-CN"/>
              </w:rPr>
              <w:t>罗格朗</w:t>
            </w:r>
            <w:r>
              <w:rPr>
                <w:rFonts w:hint="default" w:ascii="Times New Roman" w:hAnsi="宋体" w:eastAsia="宋体"/>
                <w:b w:val="0"/>
                <w:color w:val="auto"/>
                <w:spacing w:val="0"/>
                <w:position w:val="0"/>
                <w:sz w:val="28"/>
                <w:szCs w:val="28"/>
              </w:rPr>
              <w:t>、</w:t>
            </w:r>
            <w:r>
              <w:rPr>
                <w:rFonts w:hint="eastAsia" w:ascii="Times New Roman" w:hAnsi="宋体" w:eastAsia="宋体"/>
                <w:b w:val="0"/>
                <w:color w:val="auto"/>
                <w:spacing w:val="0"/>
                <w:position w:val="0"/>
                <w:sz w:val="28"/>
                <w:szCs w:val="28"/>
                <w:lang w:eastAsia="zh-CN"/>
              </w:rPr>
              <w:t>许继</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GCK</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南网入围品牌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6</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低压框架式断路器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val="0"/>
                <w:color w:val="auto"/>
                <w:spacing w:val="0"/>
                <w:position w:val="0"/>
                <w:sz w:val="28"/>
                <w:szCs w:val="28"/>
              </w:rPr>
            </w:pPr>
            <w:r>
              <w:rPr>
                <w:rFonts w:hint="default" w:ascii="Times New Roman" w:hAnsi="宋体" w:eastAsia="宋体"/>
                <w:b w:val="0"/>
                <w:color w:val="auto"/>
                <w:spacing w:val="0"/>
                <w:position w:val="0"/>
                <w:sz w:val="28"/>
                <w:szCs w:val="28"/>
              </w:rPr>
              <w:t>ABB、施耐德、罗格朗、西门子（标准型）</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宋体" w:eastAsia="宋体"/>
                <w:b w:val="0"/>
                <w:color w:val="auto"/>
                <w:spacing w:val="0"/>
                <w:position w:val="0"/>
                <w:sz w:val="21"/>
                <w:szCs w:val="21"/>
              </w:rPr>
              <w:t>1、Lcu</w:t>
            </w:r>
            <w:r>
              <w:rPr>
                <w:rFonts w:hint="default" w:ascii="Times New Roman" w:hAnsi="Times New Roman" w:eastAsia="Times New Roman"/>
                <w:b w:val="0"/>
                <w:color w:val="auto"/>
                <w:spacing w:val="0"/>
                <w:position w:val="0"/>
                <w:sz w:val="21"/>
                <w:szCs w:val="21"/>
              </w:rPr>
              <w:t>≥65KA</w:t>
            </w:r>
          </w:p>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Times New Roman" w:eastAsia="Times New Roman"/>
                <w:b w:val="0"/>
                <w:color w:val="auto"/>
                <w:spacing w:val="0"/>
                <w:position w:val="0"/>
                <w:sz w:val="21"/>
                <w:szCs w:val="21"/>
              </w:rPr>
              <w:t>2、Ue≥690V</w:t>
            </w:r>
          </w:p>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Times New Roman" w:eastAsia="Times New Roman"/>
                <w:b w:val="0"/>
                <w:color w:val="auto"/>
                <w:spacing w:val="0"/>
                <w:position w:val="0"/>
                <w:sz w:val="21"/>
                <w:szCs w:val="21"/>
              </w:rPr>
              <w:t>3、Ui≥1000V</w:t>
            </w:r>
          </w:p>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Times New Roman" w:eastAsia="Times New Roman"/>
                <w:b w:val="0"/>
                <w:color w:val="auto"/>
                <w:spacing w:val="0"/>
                <w:position w:val="0"/>
                <w:sz w:val="21"/>
                <w:szCs w:val="21"/>
              </w:rPr>
              <w:t>4、Uimp≥12KV</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b w:val="0"/>
                <w:color w:val="auto"/>
                <w:spacing w:val="0"/>
                <w:position w:val="0"/>
                <w:sz w:val="21"/>
                <w:szCs w:val="21"/>
              </w:rPr>
            </w:pPr>
            <w:r>
              <w:rPr>
                <w:rFonts w:hint="default" w:ascii="Times New Roman" w:hAnsi="宋体" w:eastAsia="宋体"/>
                <w:b w:val="0"/>
                <w:color w:val="auto"/>
                <w:spacing w:val="0"/>
                <w:position w:val="0"/>
                <w:sz w:val="21"/>
                <w:szCs w:val="21"/>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7</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低压塑壳式断路器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val="0"/>
                <w:color w:val="auto"/>
                <w:spacing w:val="0"/>
                <w:position w:val="0"/>
                <w:sz w:val="28"/>
                <w:szCs w:val="28"/>
              </w:rPr>
            </w:pPr>
            <w:r>
              <w:rPr>
                <w:rFonts w:hint="default" w:ascii="Times New Roman" w:hAnsi="宋体" w:eastAsia="宋体"/>
                <w:b w:val="0"/>
                <w:color w:val="auto"/>
                <w:spacing w:val="0"/>
                <w:position w:val="0"/>
                <w:sz w:val="28"/>
                <w:szCs w:val="28"/>
              </w:rPr>
              <w:t>ABB、施耐德、罗格朗、西门子（标准型)</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宋体" w:eastAsia="宋体"/>
                <w:b w:val="0"/>
                <w:color w:val="auto"/>
                <w:spacing w:val="0"/>
                <w:position w:val="0"/>
                <w:sz w:val="21"/>
                <w:szCs w:val="21"/>
              </w:rPr>
              <w:t>1、Lcu</w:t>
            </w:r>
            <w:r>
              <w:rPr>
                <w:rFonts w:hint="default" w:ascii="Times New Roman" w:hAnsi="Times New Roman" w:eastAsia="Times New Roman"/>
                <w:b w:val="0"/>
                <w:color w:val="auto"/>
                <w:spacing w:val="0"/>
                <w:position w:val="0"/>
                <w:sz w:val="21"/>
                <w:szCs w:val="21"/>
              </w:rPr>
              <w:t>≥50KA</w:t>
            </w:r>
          </w:p>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Times New Roman" w:eastAsia="Times New Roman"/>
                <w:b w:val="0"/>
                <w:color w:val="auto"/>
                <w:spacing w:val="0"/>
                <w:position w:val="0"/>
                <w:sz w:val="21"/>
                <w:szCs w:val="21"/>
              </w:rPr>
              <w:t>2、Ue≥690V</w:t>
            </w:r>
          </w:p>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b w:val="0"/>
                <w:color w:val="auto"/>
                <w:spacing w:val="0"/>
                <w:position w:val="0"/>
                <w:sz w:val="21"/>
                <w:szCs w:val="21"/>
              </w:rPr>
            </w:pPr>
            <w:r>
              <w:rPr>
                <w:rFonts w:hint="default" w:ascii="Times New Roman" w:hAnsi="Times New Roman" w:eastAsia="Times New Roman"/>
                <w:b w:val="0"/>
                <w:color w:val="auto"/>
                <w:spacing w:val="0"/>
                <w:position w:val="0"/>
                <w:sz w:val="21"/>
                <w:szCs w:val="21"/>
              </w:rPr>
              <w:t>3、Ui≥800V</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b w:val="0"/>
                <w:color w:val="auto"/>
                <w:spacing w:val="0"/>
                <w:position w:val="0"/>
                <w:sz w:val="21"/>
                <w:szCs w:val="21"/>
              </w:rPr>
            </w:pPr>
            <w:r>
              <w:rPr>
                <w:rFonts w:hint="default" w:ascii="Times New Roman" w:hAnsi="宋体" w:eastAsia="宋体"/>
                <w:b w:val="0"/>
                <w:color w:val="auto"/>
                <w:spacing w:val="0"/>
                <w:position w:val="0"/>
                <w:sz w:val="21"/>
                <w:szCs w:val="21"/>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8</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高压开关</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b w:val="0"/>
                <w:color w:val="auto"/>
                <w:spacing w:val="0"/>
                <w:position w:val="0"/>
                <w:sz w:val="28"/>
                <w:szCs w:val="28"/>
              </w:rPr>
            </w:pPr>
            <w:r>
              <w:rPr>
                <w:rFonts w:hint="default" w:ascii="Times New Roman" w:hAnsi="宋体" w:eastAsia="宋体"/>
                <w:b w:val="0"/>
                <w:color w:val="auto"/>
                <w:spacing w:val="0"/>
                <w:position w:val="0"/>
                <w:sz w:val="28"/>
                <w:szCs w:val="28"/>
              </w:rPr>
              <w:t>ABB、施耐德、罗格朗、西门子</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9</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综合继保</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国电南瑞Nsr612RF</w:t>
            </w:r>
          </w:p>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许继电气WGB-871</w:t>
            </w:r>
          </w:p>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北京四方CSC-211</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ACX6300</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详细配置按招标图纸要求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10</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宋体" w:hAnsi="宋体" w:eastAsia="宋体"/>
                <w:color w:val="auto"/>
                <w:spacing w:val="0"/>
                <w:position w:val="0"/>
                <w:sz w:val="28"/>
                <w:szCs w:val="28"/>
              </w:rPr>
              <w:t>电容电抗</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宋体" w:hAnsi="宋体" w:eastAsia="宋体"/>
                <w:color w:val="auto"/>
                <w:spacing w:val="0"/>
                <w:position w:val="0"/>
                <w:sz w:val="28"/>
                <w:szCs w:val="28"/>
              </w:rPr>
              <w:t>捷尼查、斯德瑞、爱普科斯</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动态补偿</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详细配置按招标图纸要求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11</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直流屏</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深圳海泰林、泰莱源、易事特</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1"/>
                <w:szCs w:val="21"/>
              </w:rPr>
              <w:t>详细配置按招标图纸要求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12</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宋体" w:hAnsi="宋体" w:eastAsia="宋体"/>
                <w:color w:val="auto"/>
                <w:position w:val="0"/>
                <w:sz w:val="20"/>
                <w:szCs w:val="20"/>
              </w:rPr>
            </w:pPr>
            <w:r>
              <w:rPr>
                <w:rFonts w:hint="default" w:ascii="宋体" w:hAnsi="宋体" w:eastAsia="宋体"/>
                <w:color w:val="auto"/>
                <w:spacing w:val="0"/>
                <w:position w:val="0"/>
                <w:sz w:val="28"/>
                <w:szCs w:val="28"/>
              </w:rPr>
              <w:t>多功能仪表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宋体" w:hAnsi="宋体" w:eastAsia="宋体"/>
                <w:color w:val="auto"/>
                <w:position w:val="0"/>
                <w:sz w:val="20"/>
                <w:szCs w:val="20"/>
              </w:rPr>
            </w:pPr>
            <w:r>
              <w:rPr>
                <w:rFonts w:hint="default" w:ascii="宋体" w:hAnsi="宋体" w:eastAsia="宋体"/>
                <w:color w:val="auto"/>
                <w:spacing w:val="0"/>
                <w:position w:val="0"/>
                <w:sz w:val="28"/>
                <w:szCs w:val="28"/>
              </w:rPr>
              <w:t>安科瑞、许昌电器、北京爱博机电</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宋体" w:hAnsi="宋体" w:eastAsia="宋体"/>
                <w:color w:val="auto"/>
                <w:position w:val="0"/>
                <w:sz w:val="20"/>
                <w:szCs w:val="20"/>
              </w:rPr>
            </w:pPr>
            <w:r>
              <w:rPr>
                <w:rFonts w:hint="default" w:ascii="Times New Roman" w:hAnsi="宋体" w:eastAsia="宋体"/>
                <w:color w:val="auto"/>
                <w:spacing w:val="0"/>
                <w:position w:val="0"/>
                <w:sz w:val="21"/>
                <w:szCs w:val="21"/>
              </w:rPr>
              <w:t>详细配置按招标图纸要求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7"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13</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智能电表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深圳华立、广州仪表、江苏林洋</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详智能电表基本要求</w:t>
            </w:r>
          </w:p>
        </w:tc>
      </w:tr>
    </w:tbl>
    <w:p>
      <w:pPr>
        <w:pageBreakBefore w:val="0"/>
        <w:numPr>
          <w:ilvl w:val="0"/>
          <w:numId w:val="0"/>
        </w:numPr>
        <w:wordWrap w:val="0"/>
        <w:autoSpaceDE/>
        <w:autoSpaceDN/>
        <w:bidi w:val="0"/>
        <w:spacing w:before="0" w:after="0" w:line="240" w:lineRule="auto"/>
        <w:ind w:right="0" w:firstLine="0"/>
        <w:jc w:val="both"/>
        <w:rPr>
          <w:rFonts w:hint="default" w:ascii="宋体" w:hAnsi="宋体" w:eastAsia="宋体"/>
          <w:color w:val="auto"/>
          <w:spacing w:val="0"/>
          <w:position w:val="0"/>
          <w:sz w:val="21"/>
          <w:szCs w:val="21"/>
        </w:rPr>
      </w:pPr>
    </w:p>
    <w:p>
      <w:pPr>
        <w:pageBreakBefore w:val="0"/>
        <w:numPr>
          <w:ilvl w:val="0"/>
          <w:numId w:val="0"/>
        </w:numPr>
        <w:wordWrap w:val="0"/>
        <w:autoSpaceDE/>
        <w:autoSpaceDN/>
        <w:bidi w:val="0"/>
        <w:spacing w:before="0" w:after="0" w:line="240" w:lineRule="auto"/>
        <w:ind w:right="0" w:firstLine="0"/>
        <w:jc w:val="both"/>
        <w:rPr>
          <w:rFonts w:hint="default" w:ascii="宋体" w:hAnsi="宋体" w:eastAsia="宋体"/>
          <w:color w:val="auto"/>
          <w:position w:val="0"/>
          <w:sz w:val="28"/>
          <w:szCs w:val="28"/>
        </w:rPr>
      </w:pPr>
      <w:r>
        <w:rPr>
          <w:rFonts w:hint="default" w:ascii="宋体" w:hAnsi="宋体" w:eastAsia="宋体"/>
          <w:color w:val="auto"/>
          <w:spacing w:val="0"/>
          <w:position w:val="0"/>
          <w:sz w:val="28"/>
          <w:szCs w:val="28"/>
        </w:rPr>
        <w:t>注：</w:t>
      </w:r>
      <w:bookmarkStart w:id="0" w:name="_GoBack"/>
      <w:bookmarkEnd w:id="0"/>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r>
        <w:rPr>
          <w:rFonts w:hint="default" w:ascii="宋体" w:hAnsi="宋体" w:eastAsia="宋体"/>
          <w:color w:val="auto"/>
          <w:position w:val="0"/>
          <w:sz w:val="28"/>
          <w:szCs w:val="28"/>
        </w:rPr>
        <w:t>1、为保证工程质量，材料设备进入工程现场时须提供生产厂家的供货证明原件给建设单位留存。</w:t>
      </w: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r>
        <w:rPr>
          <w:rFonts w:hint="default" w:ascii="宋体" w:hAnsi="宋体" w:eastAsia="宋体"/>
          <w:color w:val="auto"/>
          <w:position w:val="0"/>
          <w:sz w:val="28"/>
          <w:szCs w:val="28"/>
        </w:rPr>
        <w:t>2、为保证工程质量，投标材料设备须为南方电网的入网产品（有效期不迟于投标文件经济标书的递交截止日期）。如上表品牌不符合本条要求，请投标单位在招标答疑前书面向招标单位提出，否则，中标后须无条件负责更换为符合招标单位要求的材料设备。</w:t>
      </w: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r>
        <w:rPr>
          <w:rFonts w:hint="default" w:ascii="宋体" w:hAnsi="宋体" w:eastAsia="宋体"/>
          <w:color w:val="auto"/>
          <w:position w:val="0"/>
          <w:sz w:val="28"/>
          <w:szCs w:val="28"/>
        </w:rPr>
        <w:t>3、上表所列仅为招标单位目前的意向品牌，若有不符合政府主管部门要求或招标要求的，请投标单位在招标答疑前书面向招标单位提出，否则，中标后须无条件负责更换为符合招标单位要求的材料设备。欢迎投标单位推荐与意向品牌同档次的、价格相差不超过±15%的其他品牌。如投标单位认为上表品牌不在同一档次或有其他不公平问题，请务必书面提出，招标单位将在公平且满足招标要求的前提下尽量将更多品牌纳入可投标范围及剔除不适用品牌。</w:t>
      </w:r>
    </w:p>
    <w:p>
      <w:pPr>
        <w:numPr>
          <w:ilvl w:val="0"/>
          <w:numId w:val="0"/>
        </w:numPr>
        <w:wordWrap w:val="0"/>
        <w:autoSpaceDE/>
        <w:autoSpaceDN/>
        <w:spacing w:before="0" w:after="160" w:line="240" w:lineRule="auto"/>
        <w:ind w:right="0" w:firstLine="0"/>
        <w:jc w:val="both"/>
        <w:rPr>
          <w:rFonts w:hint="default" w:ascii="Calibri" w:hAnsi="宋体" w:eastAsia="宋体"/>
          <w:color w:val="auto"/>
          <w:position w:val="0"/>
          <w:sz w:val="21"/>
          <w:szCs w:val="21"/>
        </w:rPr>
      </w:pPr>
    </w:p>
    <w:sectPr>
      <w:footnotePr>
        <w:numFmt w:val="decimal"/>
      </w:footnotePr>
      <w:pgSz w:w="11906" w:h="16838"/>
      <w:pgMar w:top="1701" w:right="1440" w:bottom="1440" w:left="1440" w:header="708" w:footer="708" w:gutter="0"/>
      <w:pgNumType w:fmt="decimal"/>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Malgun Gothic">
    <w:altName w:val="AMGDT"/>
    <w:panose1 w:val="00000000000000000000"/>
    <w:charset w:val="86"/>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MS PGothic">
    <w:panose1 w:val="020B0600070205080204"/>
    <w:charset w:val="80"/>
    <w:family w:val="auto"/>
    <w:pitch w:val="default"/>
    <w:sig w:usb0="A00002BF" w:usb1="68C7FCFB" w:usb2="00000010"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numPr>
          <w:ilvl w:val="0"/>
          <w:numId w:val="0"/>
        </w:numPr>
        <w:tabs>
          <w:tab w:val="left" w:pos="720"/>
        </w:tabs>
        <w:ind w:left="720" w:hanging="360"/>
        <w:jc w:val="both"/>
      </w:pPr>
      <w:rPr>
        <w:rFonts w:ascii="Times New Roman" w:hAnsi="Times New Roman" w:eastAsia="Times New Roman"/>
        <w:w w:val="100"/>
        <w:sz w:val="28"/>
        <w:szCs w:val="28"/>
        <w:u w:val="none"/>
        <w:shd w:val="clear"/>
      </w:rPr>
    </w:lvl>
    <w:lvl w:ilvl="1" w:tentative="0">
      <w:start w:val="1"/>
      <w:numFmt w:val="decimalEnclosedCircle"/>
      <w:lvlText w:val="%2"/>
      <w:lvlJc w:val="left"/>
      <w:pPr>
        <w:numPr>
          <w:ilvl w:val="0"/>
          <w:numId w:val="0"/>
        </w:numPr>
        <w:tabs>
          <w:tab w:val="left" w:pos="1140"/>
        </w:tabs>
        <w:ind w:left="1140" w:hanging="360"/>
        <w:jc w:val="both"/>
      </w:pPr>
      <w:rPr>
        <w:rFonts w:ascii="宋体" w:hAnsi="宋体" w:eastAsia="宋体"/>
        <w:w w:val="100"/>
        <w:sz w:val="20"/>
        <w:szCs w:val="20"/>
        <w:shd w:val="clear"/>
      </w:rPr>
    </w:lvl>
    <w:lvl w:ilvl="2" w:tentative="0">
      <w:start w:val="3"/>
      <w:numFmt w:val="decimal"/>
      <w:lvlText w:val="%3．"/>
      <w:lvlJc w:val="left"/>
      <w:pPr>
        <w:numPr>
          <w:ilvl w:val="0"/>
          <w:numId w:val="0"/>
        </w:numPr>
        <w:tabs>
          <w:tab w:val="left" w:pos="1560"/>
        </w:tabs>
        <w:ind w:left="1560" w:hanging="360"/>
        <w:jc w:val="both"/>
      </w:pPr>
      <w:rPr>
        <w:rFonts w:ascii="宋体" w:hAnsi="宋体" w:eastAsia="宋体"/>
        <w:w w:val="100"/>
        <w:sz w:val="20"/>
        <w:szCs w:val="20"/>
        <w:shd w:val="clear"/>
      </w:rPr>
    </w:lvl>
    <w:lvl w:ilvl="3" w:tentative="0">
      <w:start w:val="1"/>
      <w:numFmt w:val="decimal"/>
      <w:lvlText w:val="%4."/>
      <w:lvlJc w:val="left"/>
      <w:pPr>
        <w:numPr>
          <w:ilvl w:val="0"/>
          <w:numId w:val="0"/>
        </w:numPr>
        <w:tabs>
          <w:tab w:val="left" w:pos="2040"/>
        </w:tabs>
        <w:ind w:left="2040" w:hanging="420"/>
        <w:jc w:val="both"/>
      </w:pPr>
      <w:rPr>
        <w:rFonts w:ascii="宋体" w:hAnsi="宋体" w:eastAsia="宋体"/>
        <w:w w:val="100"/>
        <w:sz w:val="20"/>
        <w:szCs w:val="20"/>
        <w:shd w:val="clear"/>
      </w:rPr>
    </w:lvl>
    <w:lvl w:ilvl="4" w:tentative="0">
      <w:start w:val="1"/>
      <w:numFmt w:val="lowerLetter"/>
      <w:lvlText w:val="%5)"/>
      <w:lvlJc w:val="left"/>
      <w:pPr>
        <w:numPr>
          <w:ilvl w:val="0"/>
          <w:numId w:val="0"/>
        </w:numPr>
        <w:tabs>
          <w:tab w:val="left" w:pos="2460"/>
        </w:tabs>
        <w:ind w:left="2460" w:hanging="420"/>
        <w:jc w:val="both"/>
      </w:pPr>
      <w:rPr>
        <w:rFonts w:ascii="宋体" w:hAnsi="宋体" w:eastAsia="宋体"/>
        <w:w w:val="100"/>
        <w:sz w:val="20"/>
        <w:szCs w:val="20"/>
        <w:shd w:val="clear"/>
      </w:rPr>
    </w:lvl>
    <w:lvl w:ilvl="5" w:tentative="0">
      <w:start w:val="1"/>
      <w:numFmt w:val="lowerRoman"/>
      <w:lvlText w:val="%6."/>
      <w:lvlJc w:val="right"/>
      <w:pPr>
        <w:numPr>
          <w:ilvl w:val="0"/>
          <w:numId w:val="0"/>
        </w:numPr>
        <w:tabs>
          <w:tab w:val="left" w:pos="2880"/>
        </w:tabs>
        <w:ind w:left="2880" w:hanging="420"/>
        <w:jc w:val="both"/>
      </w:pPr>
      <w:rPr>
        <w:rFonts w:ascii="宋体" w:hAnsi="宋体" w:eastAsia="宋体"/>
        <w:w w:val="100"/>
        <w:sz w:val="20"/>
        <w:szCs w:val="20"/>
        <w:shd w:val="clear"/>
      </w:rPr>
    </w:lvl>
    <w:lvl w:ilvl="6" w:tentative="0">
      <w:start w:val="1"/>
      <w:numFmt w:val="decimal"/>
      <w:lvlText w:val="%7."/>
      <w:lvlJc w:val="left"/>
      <w:pPr>
        <w:numPr>
          <w:ilvl w:val="0"/>
          <w:numId w:val="0"/>
        </w:numPr>
        <w:tabs>
          <w:tab w:val="left" w:pos="3300"/>
        </w:tabs>
        <w:ind w:left="3300" w:hanging="420"/>
        <w:jc w:val="both"/>
      </w:pPr>
      <w:rPr>
        <w:rFonts w:ascii="宋体" w:hAnsi="宋体" w:eastAsia="宋体"/>
        <w:w w:val="100"/>
        <w:sz w:val="20"/>
        <w:szCs w:val="20"/>
        <w:shd w:val="clear"/>
      </w:rPr>
    </w:lvl>
    <w:lvl w:ilvl="7" w:tentative="0">
      <w:start w:val="1"/>
      <w:numFmt w:val="lowerLetter"/>
      <w:lvlText w:val="%8)"/>
      <w:lvlJc w:val="left"/>
      <w:pPr>
        <w:numPr>
          <w:ilvl w:val="0"/>
          <w:numId w:val="0"/>
        </w:numPr>
        <w:tabs>
          <w:tab w:val="left" w:pos="3720"/>
        </w:tabs>
        <w:ind w:left="3720" w:hanging="420"/>
        <w:jc w:val="both"/>
      </w:pPr>
      <w:rPr>
        <w:rFonts w:ascii="宋体" w:hAnsi="宋体" w:eastAsia="宋体"/>
        <w:w w:val="100"/>
        <w:sz w:val="20"/>
        <w:szCs w:val="20"/>
        <w:shd w:val="clear"/>
      </w:rPr>
    </w:lvl>
    <w:lvl w:ilvl="8" w:tentative="0">
      <w:start w:val="1"/>
      <w:numFmt w:val="lowerRoman"/>
      <w:lvlText w:val="%9."/>
      <w:lvlJc w:val="right"/>
      <w:pPr>
        <w:numPr>
          <w:ilvl w:val="0"/>
          <w:numId w:val="0"/>
        </w:numPr>
        <w:tabs>
          <w:tab w:val="left" w:pos="4140"/>
        </w:tabs>
        <w:ind w:left="4140" w:hanging="420"/>
        <w:jc w:val="both"/>
      </w:pPr>
      <w:rPr>
        <w:rFonts w:ascii="宋体" w:hAnsi="宋体" w:eastAsia="宋体"/>
        <w:w w:val="100"/>
        <w:sz w:val="20"/>
        <w:szCs w:val="20"/>
        <w:shd w:val="clea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800"/>
  <w:displayHorizontalDrawingGridEvery w:val="0"/>
  <w:displayVerticalDrawingGridEvery w:val="2"/>
  <w:noPunctuationKerning w:val="1"/>
  <w:characterSpacingControl w:val="doNotCompress"/>
  <w:compat>
    <w:balanceSingleByteDoubleByteWidth/>
    <w:useFELayout/>
    <w:compatSetting w:name="compatibilityMode" w:uri="http://schemas.microsoft.com/office/word" w:val="15"/>
  </w:compat>
  <w:rsids>
    <w:rsidRoot w:val="00000000"/>
    <w:rsid w:val="48BF1713"/>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151"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3"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wordWrap/>
      <w:autoSpaceDE/>
      <w:autoSpaceDN/>
      <w:jc w:val="both"/>
    </w:pPr>
    <w:rPr>
      <w:w w:val="100"/>
      <w:sz w:val="21"/>
      <w:szCs w:val="21"/>
      <w:shd w:val="clear"/>
    </w:rPr>
  </w:style>
  <w:style w:type="paragraph" w:styleId="2">
    <w:name w:val="heading 1"/>
    <w:next w:val="1"/>
    <w:qFormat/>
    <w:uiPriority w:val="7"/>
    <w:pPr>
      <w:widowControl/>
      <w:wordWrap/>
      <w:autoSpaceDE/>
      <w:autoSpaceDN/>
      <w:jc w:val="both"/>
    </w:pPr>
    <w:rPr>
      <w:w w:val="100"/>
      <w:sz w:val="28"/>
      <w:szCs w:val="28"/>
      <w:shd w:val="clear"/>
    </w:rPr>
  </w:style>
  <w:style w:type="paragraph" w:styleId="3">
    <w:name w:val="heading 2"/>
    <w:next w:val="1"/>
    <w:qFormat/>
    <w:uiPriority w:val="8"/>
    <w:pPr>
      <w:widowControl/>
      <w:wordWrap/>
      <w:autoSpaceDE/>
      <w:autoSpaceDN/>
      <w:jc w:val="both"/>
    </w:pPr>
    <w:rPr>
      <w:w w:val="100"/>
      <w:sz w:val="21"/>
      <w:szCs w:val="21"/>
      <w:shd w:val="clear"/>
    </w:rPr>
  </w:style>
  <w:style w:type="paragraph" w:styleId="4">
    <w:name w:val="heading 3"/>
    <w:next w:val="1"/>
    <w:qFormat/>
    <w:uiPriority w:val="9"/>
    <w:pPr>
      <w:widowControl/>
      <w:wordWrap/>
      <w:autoSpaceDE/>
      <w:autoSpaceDN/>
      <w:ind w:left="1000" w:hanging="400"/>
      <w:jc w:val="both"/>
    </w:pPr>
    <w:rPr>
      <w:w w:val="100"/>
      <w:sz w:val="21"/>
      <w:szCs w:val="21"/>
      <w:shd w:val="clear"/>
    </w:rPr>
  </w:style>
  <w:style w:type="paragraph" w:styleId="5">
    <w:name w:val="heading 4"/>
    <w:next w:val="1"/>
    <w:qFormat/>
    <w:uiPriority w:val="10"/>
    <w:pPr>
      <w:widowControl/>
      <w:wordWrap/>
      <w:autoSpaceDE/>
      <w:autoSpaceDN/>
      <w:ind w:left="1200" w:hanging="400"/>
      <w:jc w:val="both"/>
    </w:pPr>
    <w:rPr>
      <w:b/>
      <w:w w:val="100"/>
      <w:sz w:val="21"/>
      <w:szCs w:val="21"/>
      <w:shd w:val="clear"/>
    </w:rPr>
  </w:style>
  <w:style w:type="paragraph" w:styleId="6">
    <w:name w:val="heading 5"/>
    <w:next w:val="1"/>
    <w:qFormat/>
    <w:uiPriority w:val="11"/>
    <w:pPr>
      <w:widowControl/>
      <w:wordWrap/>
      <w:autoSpaceDE/>
      <w:autoSpaceDN/>
      <w:ind w:left="1400" w:hanging="400"/>
      <w:jc w:val="both"/>
    </w:pPr>
    <w:rPr>
      <w:w w:val="100"/>
      <w:sz w:val="21"/>
      <w:szCs w:val="21"/>
      <w:shd w:val="clear"/>
    </w:rPr>
  </w:style>
  <w:style w:type="paragraph" w:styleId="7">
    <w:name w:val="heading 6"/>
    <w:next w:val="1"/>
    <w:qFormat/>
    <w:uiPriority w:val="12"/>
    <w:pPr>
      <w:widowControl/>
      <w:wordWrap/>
      <w:autoSpaceDE/>
      <w:autoSpaceDN/>
      <w:ind w:left="1600" w:hanging="400"/>
      <w:jc w:val="both"/>
    </w:pPr>
    <w:rPr>
      <w:b/>
      <w:w w:val="100"/>
      <w:sz w:val="21"/>
      <w:szCs w:val="21"/>
      <w:shd w:val="clear"/>
    </w:rPr>
  </w:style>
  <w:style w:type="paragraph" w:styleId="8">
    <w:name w:val="heading 7"/>
    <w:next w:val="1"/>
    <w:qFormat/>
    <w:uiPriority w:val="13"/>
    <w:pPr>
      <w:widowControl/>
      <w:wordWrap/>
      <w:autoSpaceDE/>
      <w:autoSpaceDN/>
      <w:ind w:left="1800" w:hanging="400"/>
      <w:jc w:val="both"/>
    </w:pPr>
    <w:rPr>
      <w:w w:val="100"/>
      <w:sz w:val="21"/>
      <w:szCs w:val="21"/>
      <w:shd w:val="clear"/>
    </w:rPr>
  </w:style>
  <w:style w:type="paragraph" w:styleId="9">
    <w:name w:val="heading 8"/>
    <w:next w:val="1"/>
    <w:qFormat/>
    <w:uiPriority w:val="14"/>
    <w:pPr>
      <w:widowControl/>
      <w:wordWrap/>
      <w:autoSpaceDE/>
      <w:autoSpaceDN/>
      <w:ind w:left="2000" w:hanging="400"/>
      <w:jc w:val="both"/>
    </w:pPr>
    <w:rPr>
      <w:w w:val="100"/>
      <w:sz w:val="21"/>
      <w:szCs w:val="21"/>
      <w:shd w:val="clear"/>
    </w:rPr>
  </w:style>
  <w:style w:type="paragraph" w:styleId="10">
    <w:name w:val="heading 9"/>
    <w:next w:val="1"/>
    <w:qFormat/>
    <w:uiPriority w:val="15"/>
    <w:pPr>
      <w:widowControl/>
      <w:wordWrap/>
      <w:autoSpaceDE/>
      <w:autoSpaceDN/>
      <w:ind w:left="2200" w:hanging="400"/>
      <w:jc w:val="both"/>
    </w:pPr>
    <w:rPr>
      <w:w w:val="100"/>
      <w:sz w:val="21"/>
      <w:szCs w:val="21"/>
      <w:shd w:val="clear"/>
    </w:rPr>
  </w:style>
  <w:style w:type="character" w:default="1" w:styleId="23">
    <w:name w:val="Default Paragraph Font"/>
    <w:semiHidden/>
    <w:unhideWhenUsed/>
    <w:qFormat/>
    <w:uiPriority w:val="2"/>
    <w:rPr>
      <w:w w:val="100"/>
      <w:sz w:val="21"/>
      <w:szCs w:val="21"/>
      <w:shd w:val="clear"/>
    </w:rPr>
  </w:style>
  <w:style w:type="table" w:default="1" w:styleId="26">
    <w:name w:val="Normal Table"/>
    <w:semiHidden/>
    <w:unhideWhenUsed/>
    <w:uiPriority w:val="3"/>
    <w:tblPr>
      <w:tblLayout w:type="fixed"/>
      <w:tblCellMar>
        <w:top w:w="0" w:type="dxa"/>
        <w:left w:w="108" w:type="dxa"/>
        <w:bottom w:w="0" w:type="dxa"/>
        <w:right w:w="108" w:type="dxa"/>
      </w:tblCellMar>
    </w:tblPr>
  </w:style>
  <w:style w:type="paragraph" w:styleId="11">
    <w:name w:val="toc 7"/>
    <w:next w:val="1"/>
    <w:unhideWhenUsed/>
    <w:qFormat/>
    <w:uiPriority w:val="34"/>
    <w:pPr>
      <w:widowControl/>
      <w:wordWrap/>
      <w:autoSpaceDE/>
      <w:autoSpaceDN/>
      <w:ind w:left="2550" w:firstLine="0"/>
      <w:jc w:val="both"/>
    </w:pPr>
    <w:rPr>
      <w:w w:val="100"/>
      <w:sz w:val="21"/>
      <w:szCs w:val="21"/>
      <w:shd w:val="clear"/>
    </w:rPr>
  </w:style>
  <w:style w:type="paragraph" w:styleId="12">
    <w:name w:val="toc 5"/>
    <w:next w:val="1"/>
    <w:unhideWhenUsed/>
    <w:qFormat/>
    <w:uiPriority w:val="32"/>
    <w:pPr>
      <w:widowControl/>
      <w:wordWrap/>
      <w:autoSpaceDE/>
      <w:autoSpaceDN/>
      <w:ind w:left="1700" w:firstLine="0"/>
      <w:jc w:val="both"/>
    </w:pPr>
    <w:rPr>
      <w:w w:val="100"/>
      <w:sz w:val="21"/>
      <w:szCs w:val="21"/>
      <w:shd w:val="clear"/>
    </w:rPr>
  </w:style>
  <w:style w:type="paragraph" w:styleId="13">
    <w:name w:val="toc 3"/>
    <w:next w:val="1"/>
    <w:unhideWhenUsed/>
    <w:qFormat/>
    <w:uiPriority w:val="30"/>
    <w:pPr>
      <w:widowControl/>
      <w:wordWrap/>
      <w:autoSpaceDE/>
      <w:autoSpaceDN/>
      <w:ind w:left="850" w:firstLine="0"/>
      <w:jc w:val="both"/>
    </w:pPr>
    <w:rPr>
      <w:w w:val="100"/>
      <w:sz w:val="21"/>
      <w:szCs w:val="21"/>
      <w:shd w:val="clear"/>
    </w:rPr>
  </w:style>
  <w:style w:type="paragraph" w:styleId="14">
    <w:name w:val="toc 8"/>
    <w:next w:val="1"/>
    <w:unhideWhenUsed/>
    <w:qFormat/>
    <w:uiPriority w:val="35"/>
    <w:pPr>
      <w:widowControl/>
      <w:wordWrap/>
      <w:autoSpaceDE/>
      <w:autoSpaceDN/>
      <w:ind w:left="2975" w:firstLine="0"/>
      <w:jc w:val="both"/>
    </w:pPr>
    <w:rPr>
      <w:w w:val="100"/>
      <w:sz w:val="21"/>
      <w:szCs w:val="21"/>
      <w:shd w:val="clear"/>
    </w:rPr>
  </w:style>
  <w:style w:type="paragraph" w:styleId="15">
    <w:name w:val="toc 1"/>
    <w:next w:val="1"/>
    <w:unhideWhenUsed/>
    <w:qFormat/>
    <w:uiPriority w:val="28"/>
    <w:pPr>
      <w:widowControl/>
      <w:wordWrap/>
      <w:autoSpaceDE/>
      <w:autoSpaceDN/>
      <w:jc w:val="both"/>
    </w:pPr>
    <w:rPr>
      <w:w w:val="100"/>
      <w:sz w:val="21"/>
      <w:szCs w:val="21"/>
      <w:shd w:val="clear"/>
    </w:rPr>
  </w:style>
  <w:style w:type="paragraph" w:styleId="16">
    <w:name w:val="toc 4"/>
    <w:next w:val="1"/>
    <w:unhideWhenUsed/>
    <w:qFormat/>
    <w:uiPriority w:val="31"/>
    <w:pPr>
      <w:widowControl/>
      <w:wordWrap/>
      <w:autoSpaceDE/>
      <w:autoSpaceDN/>
      <w:ind w:left="1275" w:firstLine="0"/>
      <w:jc w:val="both"/>
    </w:pPr>
    <w:rPr>
      <w:w w:val="100"/>
      <w:sz w:val="21"/>
      <w:szCs w:val="21"/>
      <w:shd w:val="clear"/>
    </w:rPr>
  </w:style>
  <w:style w:type="paragraph" w:styleId="17">
    <w:name w:val="Subtitle"/>
    <w:qFormat/>
    <w:uiPriority w:val="16"/>
    <w:pPr>
      <w:widowControl/>
      <w:wordWrap/>
      <w:autoSpaceDE/>
      <w:autoSpaceDN/>
      <w:jc w:val="center"/>
    </w:pPr>
    <w:rPr>
      <w:w w:val="100"/>
      <w:sz w:val="24"/>
      <w:szCs w:val="24"/>
      <w:shd w:val="clear"/>
    </w:rPr>
  </w:style>
  <w:style w:type="paragraph" w:styleId="18">
    <w:name w:val="toc 6"/>
    <w:next w:val="1"/>
    <w:unhideWhenUsed/>
    <w:qFormat/>
    <w:uiPriority w:val="33"/>
    <w:pPr>
      <w:widowControl/>
      <w:wordWrap/>
      <w:autoSpaceDE/>
      <w:autoSpaceDN/>
      <w:ind w:left="2125" w:firstLine="0"/>
      <w:jc w:val="both"/>
    </w:pPr>
    <w:rPr>
      <w:w w:val="100"/>
      <w:sz w:val="21"/>
      <w:szCs w:val="21"/>
      <w:shd w:val="clear"/>
    </w:rPr>
  </w:style>
  <w:style w:type="paragraph" w:styleId="19">
    <w:name w:val="toc 2"/>
    <w:next w:val="1"/>
    <w:unhideWhenUsed/>
    <w:qFormat/>
    <w:uiPriority w:val="29"/>
    <w:pPr>
      <w:widowControl/>
      <w:wordWrap/>
      <w:autoSpaceDE/>
      <w:autoSpaceDN/>
      <w:ind w:left="425" w:firstLine="0"/>
      <w:jc w:val="both"/>
    </w:pPr>
    <w:rPr>
      <w:w w:val="100"/>
      <w:sz w:val="21"/>
      <w:szCs w:val="21"/>
      <w:shd w:val="clear"/>
    </w:rPr>
  </w:style>
  <w:style w:type="paragraph" w:styleId="20">
    <w:name w:val="toc 9"/>
    <w:next w:val="1"/>
    <w:unhideWhenUsed/>
    <w:qFormat/>
    <w:uiPriority w:val="36"/>
    <w:pPr>
      <w:widowControl/>
      <w:wordWrap/>
      <w:autoSpaceDE/>
      <w:autoSpaceDN/>
      <w:ind w:left="3400" w:firstLine="0"/>
      <w:jc w:val="both"/>
    </w:pPr>
    <w:rPr>
      <w:w w:val="100"/>
      <w:sz w:val="21"/>
      <w:szCs w:val="21"/>
      <w:shd w:val="clear"/>
    </w:rPr>
  </w:style>
  <w:style w:type="paragraph" w:styleId="21">
    <w:name w:val="Normal (Web)"/>
    <w:basedOn w:val="1"/>
    <w:qFormat/>
    <w:uiPriority w:val="151"/>
    <w:pPr>
      <w:widowControl/>
      <w:numPr>
        <w:ilvl w:val="0"/>
        <w:numId w:val="0"/>
      </w:numPr>
      <w:wordWrap/>
      <w:autoSpaceDE/>
      <w:autoSpaceDN/>
      <w:ind w:firstLine="0"/>
    </w:pPr>
    <w:rPr>
      <w:rFonts w:ascii="宋体" w:hAnsi="宋体" w:eastAsia="宋体"/>
      <w:color w:val="000000"/>
      <w:w w:val="100"/>
      <w:sz w:val="24"/>
      <w:szCs w:val="24"/>
      <w:shd w:val="clear"/>
    </w:rPr>
  </w:style>
  <w:style w:type="paragraph" w:styleId="22">
    <w:name w:val="Title"/>
    <w:qFormat/>
    <w:uiPriority w:val="6"/>
    <w:pPr>
      <w:widowControl/>
      <w:wordWrap/>
      <w:autoSpaceDE/>
      <w:autoSpaceDN/>
      <w:jc w:val="center"/>
    </w:pPr>
    <w:rPr>
      <w:b/>
      <w:w w:val="100"/>
      <w:sz w:val="32"/>
      <w:szCs w:val="32"/>
      <w:shd w:val="clear"/>
    </w:rPr>
  </w:style>
  <w:style w:type="character" w:styleId="24">
    <w:name w:val="Strong"/>
    <w:qFormat/>
    <w:uiPriority w:val="20"/>
    <w:rPr>
      <w:b/>
      <w:w w:val="100"/>
      <w:sz w:val="21"/>
      <w:szCs w:val="21"/>
      <w:shd w:val="clear"/>
    </w:rPr>
  </w:style>
  <w:style w:type="character" w:styleId="25">
    <w:name w:val="Emphasis"/>
    <w:qFormat/>
    <w:uiPriority w:val="18"/>
    <w:rPr>
      <w:i/>
      <w:w w:val="100"/>
      <w:sz w:val="21"/>
      <w:szCs w:val="21"/>
      <w:shd w:val="clear"/>
    </w:rPr>
  </w:style>
  <w:style w:type="paragraph" w:styleId="27">
    <w:name w:val="No Spacing"/>
    <w:qFormat/>
    <w:uiPriority w:val="5"/>
    <w:pPr>
      <w:widowControl/>
      <w:wordWrap/>
      <w:autoSpaceDE/>
      <w:autoSpaceDN/>
      <w:jc w:val="both"/>
    </w:pPr>
    <w:rPr>
      <w:w w:val="100"/>
      <w:sz w:val="21"/>
      <w:szCs w:val="21"/>
      <w:shd w:val="clear"/>
    </w:rPr>
  </w:style>
  <w:style w:type="character" w:customStyle="1" w:styleId="28">
    <w:name w:val="Subtle Emphasis"/>
    <w:qFormat/>
    <w:uiPriority w:val="17"/>
    <w:rPr>
      <w:i/>
      <w:color w:val="404040"/>
      <w:w w:val="100"/>
      <w:sz w:val="21"/>
      <w:szCs w:val="21"/>
      <w:shd w:val="clear"/>
    </w:rPr>
  </w:style>
  <w:style w:type="character" w:customStyle="1" w:styleId="29">
    <w:name w:val="Intense Emphasis"/>
    <w:qFormat/>
    <w:uiPriority w:val="19"/>
    <w:rPr>
      <w:i/>
      <w:color w:val="5B9BD5"/>
      <w:w w:val="100"/>
      <w:sz w:val="21"/>
      <w:szCs w:val="21"/>
      <w:shd w:val="clear"/>
    </w:rPr>
  </w:style>
  <w:style w:type="paragraph" w:styleId="30">
    <w:name w:val="Quote"/>
    <w:qFormat/>
    <w:uiPriority w:val="21"/>
    <w:pPr>
      <w:widowControl/>
      <w:wordWrap/>
      <w:autoSpaceDE/>
      <w:autoSpaceDN/>
      <w:ind w:left="864" w:right="864" w:firstLine="0"/>
      <w:jc w:val="center"/>
    </w:pPr>
    <w:rPr>
      <w:i/>
      <w:color w:val="404040"/>
      <w:w w:val="100"/>
      <w:sz w:val="21"/>
      <w:szCs w:val="21"/>
      <w:shd w:val="clear"/>
    </w:rPr>
  </w:style>
  <w:style w:type="paragraph" w:styleId="31">
    <w:name w:val="Intense Quote"/>
    <w:qFormat/>
    <w:uiPriority w:val="22"/>
    <w:pPr>
      <w:widowControl/>
      <w:wordWrap/>
      <w:autoSpaceDE/>
      <w:autoSpaceDN/>
      <w:ind w:left="950" w:right="950" w:firstLine="0"/>
      <w:jc w:val="center"/>
    </w:pPr>
    <w:rPr>
      <w:i/>
      <w:color w:val="5B9BD5"/>
      <w:w w:val="100"/>
      <w:sz w:val="21"/>
      <w:szCs w:val="21"/>
      <w:shd w:val="clear"/>
    </w:rPr>
  </w:style>
  <w:style w:type="character" w:customStyle="1" w:styleId="32">
    <w:name w:val="Subtle Reference"/>
    <w:qFormat/>
    <w:uiPriority w:val="23"/>
    <w:rPr>
      <w:smallCaps/>
      <w:color w:val="5A5A5A"/>
      <w:w w:val="100"/>
      <w:sz w:val="21"/>
      <w:szCs w:val="21"/>
      <w:shd w:val="clear"/>
    </w:rPr>
  </w:style>
  <w:style w:type="character" w:customStyle="1" w:styleId="33">
    <w:name w:val="Intense Reference"/>
    <w:qFormat/>
    <w:uiPriority w:val="24"/>
    <w:rPr>
      <w:b/>
      <w:smallCaps/>
      <w:color w:val="5B9BD5"/>
      <w:w w:val="100"/>
      <w:sz w:val="21"/>
      <w:szCs w:val="21"/>
      <w:shd w:val="clear"/>
    </w:rPr>
  </w:style>
  <w:style w:type="character" w:customStyle="1" w:styleId="34">
    <w:name w:val="Book Title"/>
    <w:qFormat/>
    <w:uiPriority w:val="25"/>
    <w:rPr>
      <w:b/>
      <w:i/>
      <w:w w:val="100"/>
      <w:sz w:val="21"/>
      <w:szCs w:val="21"/>
      <w:shd w:val="clear"/>
    </w:rPr>
  </w:style>
  <w:style w:type="paragraph" w:styleId="35">
    <w:name w:val="List Paragraph"/>
    <w:qFormat/>
    <w:uiPriority w:val="26"/>
    <w:pPr>
      <w:widowControl/>
      <w:wordWrap/>
      <w:autoSpaceDE/>
      <w:autoSpaceDN/>
      <w:ind w:left="850" w:firstLine="0"/>
      <w:jc w:val="both"/>
    </w:pPr>
    <w:rPr>
      <w:w w:val="100"/>
      <w:sz w:val="21"/>
      <w:szCs w:val="21"/>
      <w:shd w:val="clear"/>
    </w:rPr>
  </w:style>
  <w:style w:type="paragraph" w:customStyle="1" w:styleId="36">
    <w:name w:val="TOC Heading"/>
    <w:unhideWhenUsed/>
    <w:qFormat/>
    <w:uiPriority w:val="27"/>
    <w:pPr>
      <w:widowControl/>
      <w:wordWrap/>
      <w:autoSpaceDE/>
      <w:autoSpaceDN/>
      <w:jc w:val="both"/>
    </w:pPr>
    <w:rPr>
      <w:color w:val="2E74B5"/>
      <w:w w:val="100"/>
      <w:sz w:val="32"/>
      <w:szCs w:val="32"/>
      <w:shd w:val="cle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91</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2019-02-27T07:21:46Z</dcterms:created>
  <dc:creator>admin</dc:creator>
  <cp:lastModifiedBy>admin</cp:lastModifiedBy>
  <dcterms:modified xsi:type="dcterms:W3CDTF">2019-02-27T07:23:29Z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