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《豪丰工业园火灾预警监控系统工程招标文件》补充通知（五）</w:t>
      </w:r>
    </w:p>
    <w:p>
      <w:pPr>
        <w:numPr>
          <w:ilvl w:val="0"/>
          <w:numId w:val="0"/>
        </w:numPr>
        <w:spacing w:line="420" w:lineRule="exact"/>
        <w:ind w:firstLine="480" w:firstLineChars="200"/>
        <w:rPr>
          <w:rFonts w:hint="eastAsia"/>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olor w:val="auto"/>
          <w:sz w:val="24"/>
          <w:szCs w:val="24"/>
          <w:lang w:val="en-US" w:eastAsia="zh-CN"/>
        </w:rPr>
      </w:pPr>
      <w:r>
        <w:rPr>
          <w:rFonts w:hint="eastAsia"/>
          <w:color w:val="auto"/>
          <w:sz w:val="24"/>
          <w:szCs w:val="24"/>
          <w:lang w:val="en-US" w:eastAsia="zh-CN"/>
        </w:rPr>
        <w:t>各投标单位：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lang w:val="en-US" w:eastAsia="zh-CN"/>
        </w:rPr>
      </w:pPr>
      <w:r>
        <w:rPr>
          <w:rFonts w:hint="eastAsia"/>
          <w:color w:val="auto"/>
          <w:sz w:val="24"/>
          <w:szCs w:val="24"/>
          <w:lang w:val="en-US" w:eastAsia="zh-CN"/>
        </w:rPr>
        <w:t>豪丰工业园火灾预警监控系统工程招标工作已完成两轮报价，第二轮报价情况为：A标段最低价760万元，B标段最低价98万元。现请各单位进行第三轮（即最后一轮）报价，要求如下：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lang w:val="en-US" w:eastAsia="zh-CN"/>
        </w:rPr>
      </w:pPr>
      <w:r>
        <w:rPr>
          <w:rFonts w:hint="eastAsia"/>
          <w:color w:val="auto"/>
          <w:sz w:val="24"/>
          <w:szCs w:val="24"/>
          <w:lang w:val="en-US" w:eastAsia="zh-CN"/>
        </w:rPr>
        <w:t>1、第三轮报价仅涉及价格，不涉及之前与招标单位谈定的内容及投标文件提及的内容。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lang w:val="en-US" w:eastAsia="zh-CN"/>
        </w:rPr>
      </w:pPr>
      <w:r>
        <w:rPr>
          <w:rFonts w:hint="eastAsia"/>
          <w:color w:val="auto"/>
          <w:sz w:val="24"/>
          <w:szCs w:val="24"/>
          <w:lang w:val="en-US" w:eastAsia="zh-CN"/>
        </w:rPr>
        <w:t>2、各单位的第三轮报价不得高于自身的第二轮报价，低于此价（A标段760万元，B标段98万元）的将更可能中标。</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lang w:val="en-US" w:eastAsia="zh-CN"/>
        </w:rPr>
      </w:pPr>
      <w:r>
        <w:rPr>
          <w:rFonts w:hint="eastAsia"/>
          <w:color w:val="auto"/>
          <w:sz w:val="24"/>
          <w:szCs w:val="24"/>
          <w:lang w:val="en-US" w:eastAsia="zh-CN"/>
        </w:rPr>
        <w:fldChar w:fldCharType="begin"/>
      </w:r>
      <w:r>
        <w:rPr>
          <w:rFonts w:hint="eastAsia"/>
          <w:color w:val="auto"/>
          <w:sz w:val="24"/>
          <w:szCs w:val="24"/>
          <w:lang w:val="en-US" w:eastAsia="zh-CN"/>
        </w:rPr>
        <w:instrText xml:space="preserve"> HYPERLINK "mailto:3、第三轮报价截止时间为2021年9月22日10时前发至招标邮箱bid2@nanfeng.cn（此邮箱仅接收投标文件" </w:instrText>
      </w:r>
      <w:r>
        <w:rPr>
          <w:rFonts w:hint="eastAsia"/>
          <w:color w:val="auto"/>
          <w:sz w:val="24"/>
          <w:szCs w:val="24"/>
          <w:lang w:val="en-US" w:eastAsia="zh-CN"/>
        </w:rPr>
        <w:fldChar w:fldCharType="separate"/>
      </w:r>
      <w:r>
        <w:rPr>
          <w:rFonts w:hint="eastAsia"/>
          <w:color w:val="auto"/>
          <w:sz w:val="24"/>
          <w:szCs w:val="24"/>
          <w:lang w:val="en-US" w:eastAsia="zh-CN"/>
        </w:rPr>
        <w:t>3、第三轮报价书格的式详见本通知附件。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lang w:val="en-US" w:eastAsia="zh-CN"/>
        </w:rPr>
      </w:pPr>
      <w:r>
        <w:rPr>
          <w:rFonts w:hint="eastAsia"/>
          <w:color w:val="auto"/>
          <w:sz w:val="24"/>
          <w:szCs w:val="24"/>
          <w:lang w:val="en-US" w:eastAsia="zh-CN"/>
        </w:rPr>
        <w:t>4、第三轮报价截止时间为2021年9月22日10时，报价书须加盖公章后扫描发至招标邮箱bid2@nanfeng.cn</w:t>
      </w:r>
      <w:r>
        <w:rPr>
          <w:rFonts w:hint="eastAsia"/>
          <w:color w:val="auto"/>
          <w:sz w:val="24"/>
          <w:szCs w:val="24"/>
          <w:lang w:val="en-US" w:eastAsia="zh-CN"/>
        </w:rPr>
        <w:fldChar w:fldCharType="end"/>
      </w:r>
      <w:r>
        <w:rPr>
          <w:rFonts w:hint="eastAsia"/>
          <w:color w:val="auto"/>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lang w:val="en-US" w:eastAsia="zh-CN"/>
        </w:rPr>
      </w:pPr>
      <w:r>
        <w:rPr>
          <w:rFonts w:hint="eastAsia"/>
          <w:color w:val="auto"/>
          <w:sz w:val="24"/>
          <w:szCs w:val="24"/>
          <w:lang w:val="en-US" w:eastAsia="zh-CN"/>
        </w:rPr>
        <w:t>5、我司8月30日发布的招标文件补充通知（二）附件的A标段合同格式要求乙方“签约后三天内向甲方提交30万元作为本协议履约保证金”。为确保签约顺利，我司决定提前收取A标段的30万元保证金。我司将在与中标单位签订合同后的三个工作日内将未中标单位的保证金无息退还。如递交之日起20个日历天内未定标，我将于递交之日的第21个日历天起无息退还保证金。递交A标段30万元保证金的截止时间为：2021年9月23日12时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lang w:val="en-US" w:eastAsia="zh-CN"/>
        </w:rPr>
      </w:pPr>
      <w:r>
        <w:rPr>
          <w:rFonts w:hint="eastAsia"/>
          <w:color w:val="auto"/>
          <w:sz w:val="24"/>
          <w:szCs w:val="24"/>
          <w:lang w:val="en-US" w:eastAsia="zh-CN"/>
        </w:rPr>
        <w:t>特此通知。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olor w:val="auto"/>
          <w:sz w:val="24"/>
          <w:szCs w:val="24"/>
          <w:lang w:val="en-US" w:eastAsia="zh-CN"/>
        </w:rPr>
      </w:pPr>
      <w:r>
        <w:rPr>
          <w:rFonts w:hint="eastAsia"/>
          <w:color w:val="auto"/>
          <w:sz w:val="24"/>
          <w:szCs w:val="24"/>
          <w:lang w:val="en-US" w:eastAsia="zh-CN"/>
        </w:rPr>
        <w:t>附件：《第三轮报价书格式》。</w:t>
      </w:r>
    </w:p>
    <w:p>
      <w:pPr>
        <w:numPr>
          <w:ilvl w:val="0"/>
          <w:numId w:val="0"/>
        </w:numPr>
        <w:spacing w:line="420" w:lineRule="exact"/>
        <w:rPr>
          <w:rFonts w:hint="eastAsia"/>
          <w:color w:val="auto"/>
          <w:sz w:val="24"/>
          <w:szCs w:val="24"/>
          <w:lang w:val="en-US" w:eastAsia="zh-CN"/>
        </w:rPr>
      </w:pPr>
    </w:p>
    <w:p>
      <w:pPr>
        <w:numPr>
          <w:ilvl w:val="0"/>
          <w:numId w:val="0"/>
        </w:numPr>
        <w:spacing w:line="420" w:lineRule="exact"/>
        <w:rPr>
          <w:rFonts w:hint="eastAsia"/>
          <w:color w:val="auto"/>
          <w:sz w:val="24"/>
          <w:szCs w:val="24"/>
          <w:lang w:val="en-US" w:eastAsia="zh-CN"/>
        </w:rPr>
      </w:pPr>
    </w:p>
    <w:p>
      <w:pPr>
        <w:numPr>
          <w:ilvl w:val="0"/>
          <w:numId w:val="0"/>
        </w:numPr>
        <w:spacing w:line="420" w:lineRule="exact"/>
        <w:rPr>
          <w:rFonts w:hint="eastAsia"/>
          <w:color w:val="auto"/>
          <w:sz w:val="24"/>
          <w:szCs w:val="24"/>
          <w:lang w:val="en-US" w:eastAsia="zh-CN"/>
        </w:rPr>
      </w:pPr>
    </w:p>
    <w:p>
      <w:pPr>
        <w:numPr>
          <w:ilvl w:val="0"/>
          <w:numId w:val="0"/>
        </w:numPr>
        <w:spacing w:line="420" w:lineRule="exact"/>
        <w:rPr>
          <w:rFonts w:hint="eastAsia"/>
          <w:color w:val="auto"/>
          <w:sz w:val="24"/>
          <w:szCs w:val="24"/>
          <w:lang w:val="en-US" w:eastAsia="zh-CN"/>
        </w:rPr>
      </w:pPr>
    </w:p>
    <w:p>
      <w:pPr>
        <w:numPr>
          <w:ilvl w:val="0"/>
          <w:numId w:val="0"/>
        </w:numPr>
        <w:spacing w:line="420" w:lineRule="exact"/>
        <w:rPr>
          <w:rFonts w:hint="eastAsia"/>
          <w:color w:val="auto"/>
          <w:sz w:val="24"/>
          <w:szCs w:val="24"/>
          <w:lang w:val="en-US" w:eastAsia="zh-CN"/>
        </w:rPr>
      </w:pPr>
    </w:p>
    <w:p>
      <w:pPr>
        <w:numPr>
          <w:ilvl w:val="0"/>
          <w:numId w:val="0"/>
        </w:numPr>
        <w:spacing w:line="420" w:lineRule="exact"/>
        <w:jc w:val="right"/>
        <w:rPr>
          <w:rFonts w:hint="eastAsia"/>
          <w:color w:val="auto"/>
          <w:sz w:val="24"/>
          <w:szCs w:val="24"/>
          <w:lang w:val="en-US" w:eastAsia="zh-CN"/>
        </w:rPr>
      </w:pPr>
      <w:r>
        <w:rPr>
          <w:rFonts w:hint="eastAsia"/>
          <w:color w:val="auto"/>
          <w:sz w:val="24"/>
          <w:szCs w:val="24"/>
          <w:lang w:val="en-US" w:eastAsia="zh-CN"/>
        </w:rPr>
        <w:t xml:space="preserve">                                         东莞市豪丰环保投资有限公司</w:t>
      </w:r>
    </w:p>
    <w:p>
      <w:pPr>
        <w:numPr>
          <w:ilvl w:val="0"/>
          <w:numId w:val="0"/>
        </w:numPr>
        <w:spacing w:line="420" w:lineRule="exact"/>
        <w:jc w:val="right"/>
        <w:rPr>
          <w:rFonts w:hint="eastAsia"/>
          <w:color w:val="auto"/>
          <w:sz w:val="24"/>
          <w:szCs w:val="24"/>
          <w:lang w:val="en-US" w:eastAsia="zh-CN"/>
        </w:rPr>
      </w:pPr>
      <w:r>
        <w:rPr>
          <w:rFonts w:hint="eastAsia"/>
          <w:color w:val="auto"/>
          <w:sz w:val="24"/>
          <w:szCs w:val="24"/>
          <w:lang w:val="en-US" w:eastAsia="zh-CN"/>
        </w:rPr>
        <w:t>2021年9月18日</w:t>
      </w:r>
    </w:p>
    <w:p>
      <w:pPr>
        <w:pStyle w:val="2"/>
        <w:rPr>
          <w:rFonts w:hint="eastAsia"/>
          <w:color w:val="auto"/>
          <w:sz w:val="24"/>
          <w:szCs w:val="24"/>
          <w:lang w:val="en-US" w:eastAsia="zh-CN"/>
        </w:rPr>
      </w:pPr>
    </w:p>
    <w:p>
      <w:pPr>
        <w:pStyle w:val="2"/>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附件</w:t>
      </w:r>
    </w:p>
    <w:p>
      <w:pPr>
        <w:pStyle w:val="4"/>
        <w:spacing w:line="0" w:lineRule="atLeast"/>
        <w:ind w:left="0"/>
        <w:jc w:val="center"/>
        <w:rPr>
          <w:rFonts w:hint="eastAsia" w:ascii="宋体" w:hAnsi="宋体" w:eastAsia="宋体" w:cs="宋体"/>
          <w:b/>
          <w:spacing w:val="10"/>
          <w:sz w:val="44"/>
          <w:szCs w:val="44"/>
          <w:lang w:val="en-US" w:eastAsia="zh-CN"/>
        </w:rPr>
      </w:pPr>
      <w:r>
        <w:rPr>
          <w:rFonts w:hint="eastAsia" w:ascii="宋体" w:hAnsi="宋体" w:eastAsia="宋体" w:cs="宋体"/>
          <w:b/>
          <w:spacing w:val="10"/>
          <w:sz w:val="44"/>
          <w:szCs w:val="44"/>
          <w:lang w:val="en-US" w:eastAsia="zh-CN"/>
        </w:rPr>
        <w:t>第三轮报价书</w:t>
      </w:r>
    </w:p>
    <w:p>
      <w:pPr>
        <w:pStyle w:val="4"/>
        <w:spacing w:line="0" w:lineRule="atLeast"/>
        <w:ind w:left="0"/>
        <w:jc w:val="center"/>
        <w:rPr>
          <w:rFonts w:hint="eastAsia" w:ascii="宋体" w:hAnsi="宋体" w:eastAsia="宋体" w:cs="宋体"/>
          <w:b/>
          <w:spacing w:val="10"/>
          <w:sz w:val="44"/>
          <w:szCs w:val="44"/>
          <w:lang w:val="en-US" w:eastAsia="zh-CN"/>
        </w:rPr>
      </w:pPr>
    </w:p>
    <w:p>
      <w:pPr>
        <w:pStyle w:val="4"/>
        <w:keepNext w:val="0"/>
        <w:keepLines w:val="0"/>
        <w:pageBreakBefore w:val="0"/>
        <w:widowControl w:val="0"/>
        <w:tabs>
          <w:tab w:val="left" w:pos="-199"/>
        </w:tabs>
        <w:kinsoku/>
        <w:wordWrap/>
        <w:overflowPunct/>
        <w:topLinePunct w:val="0"/>
        <w:autoSpaceDE/>
        <w:autoSpaceDN/>
        <w:bidi w:val="0"/>
        <w:adjustRightInd/>
        <w:snapToGrid w:val="0"/>
        <w:spacing w:line="480" w:lineRule="auto"/>
        <w:ind w:left="0"/>
        <w:textAlignment w:val="baseline"/>
        <w:rPr>
          <w:rFonts w:hint="eastAsia" w:ascii="宋体" w:hAnsi="宋体" w:eastAsia="宋体" w:cs="宋体"/>
          <w:b/>
          <w:sz w:val="28"/>
          <w:szCs w:val="28"/>
        </w:rPr>
      </w:pPr>
      <w:r>
        <w:rPr>
          <w:rFonts w:hint="eastAsia" w:ascii="宋体" w:hAnsi="宋体" w:eastAsia="宋体" w:cs="宋体"/>
          <w:b/>
          <w:spacing w:val="10"/>
          <w:sz w:val="28"/>
          <w:szCs w:val="28"/>
        </w:rPr>
        <w:t>致：</w:t>
      </w:r>
      <w:r>
        <w:rPr>
          <w:rFonts w:hint="eastAsia" w:ascii="宋体" w:hAnsi="宋体" w:eastAsia="宋体" w:cs="宋体"/>
          <w:b/>
          <w:sz w:val="28"/>
          <w:szCs w:val="28"/>
        </w:rPr>
        <w:t>东莞市豪丰环保投资有限公司</w:t>
      </w:r>
    </w:p>
    <w:p>
      <w:pPr>
        <w:pStyle w:val="4"/>
        <w:keepNext w:val="0"/>
        <w:keepLines w:val="0"/>
        <w:pageBreakBefore w:val="0"/>
        <w:widowControl w:val="0"/>
        <w:numPr>
          <w:ilvl w:val="0"/>
          <w:numId w:val="0"/>
        </w:numPr>
        <w:tabs>
          <w:tab w:val="left" w:pos="-199"/>
        </w:tabs>
        <w:kinsoku/>
        <w:wordWrap/>
        <w:overflowPunct/>
        <w:topLinePunct w:val="0"/>
        <w:autoSpaceDE/>
        <w:autoSpaceDN/>
        <w:bidi w:val="0"/>
        <w:adjustRightInd/>
        <w:snapToGrid w:val="0"/>
        <w:spacing w:line="480" w:lineRule="auto"/>
        <w:ind w:firstLine="560" w:firstLineChars="200"/>
        <w:textAlignment w:val="baseline"/>
        <w:rPr>
          <w:rFonts w:hint="default" w:ascii="宋体" w:hAnsi="宋体" w:eastAsia="宋体" w:cs="宋体"/>
          <w:color w:val="auto"/>
          <w:sz w:val="28"/>
          <w:szCs w:val="28"/>
          <w:lang w:val="en-US" w:eastAsia="zh-CN"/>
        </w:rPr>
      </w:pPr>
      <w:r>
        <w:rPr>
          <w:rFonts w:hint="eastAsia" w:ascii="宋体" w:hAnsi="宋体" w:eastAsia="宋体" w:cs="宋体"/>
          <w:kern w:val="24"/>
          <w:sz w:val="28"/>
          <w:szCs w:val="28"/>
        </w:rPr>
        <w:t>经</w:t>
      </w:r>
      <w:r>
        <w:rPr>
          <w:rFonts w:hint="eastAsia" w:ascii="宋体" w:hAnsi="宋体" w:eastAsia="宋体" w:cs="宋体"/>
          <w:kern w:val="24"/>
          <w:sz w:val="28"/>
          <w:szCs w:val="28"/>
          <w:lang w:val="en-US" w:eastAsia="zh-CN"/>
        </w:rPr>
        <w:t>两轮报价后，</w:t>
      </w:r>
      <w:r>
        <w:rPr>
          <w:rFonts w:hint="eastAsia" w:ascii="宋体" w:hAnsi="宋体" w:cs="宋体"/>
          <w:kern w:val="24"/>
          <w:sz w:val="28"/>
          <w:szCs w:val="28"/>
          <w:lang w:val="en-US" w:eastAsia="zh-CN"/>
        </w:rPr>
        <w:t>现提交</w:t>
      </w:r>
      <w:r>
        <w:rPr>
          <w:rFonts w:hint="eastAsia" w:ascii="宋体" w:hAnsi="宋体" w:eastAsia="宋体" w:cs="宋体"/>
          <w:kern w:val="24"/>
          <w:sz w:val="28"/>
          <w:szCs w:val="28"/>
          <w:lang w:val="en-US" w:eastAsia="zh-CN"/>
        </w:rPr>
        <w:t>我司</w:t>
      </w:r>
      <w:r>
        <w:rPr>
          <w:rFonts w:hint="eastAsia" w:ascii="宋体" w:hAnsi="宋体" w:cs="宋体"/>
          <w:kern w:val="24"/>
          <w:sz w:val="28"/>
          <w:szCs w:val="28"/>
          <w:lang w:val="en-US" w:eastAsia="zh-CN"/>
        </w:rPr>
        <w:t>对</w:t>
      </w:r>
      <w:r>
        <w:rPr>
          <w:rFonts w:hint="eastAsia" w:ascii="宋体" w:hAnsi="宋体" w:eastAsia="宋体" w:cs="宋体"/>
          <w:spacing w:val="10"/>
          <w:sz w:val="28"/>
          <w:szCs w:val="28"/>
        </w:rPr>
        <w:t>豪丰工业园火灾预警监控系统工程</w:t>
      </w:r>
      <w:r>
        <w:rPr>
          <w:rFonts w:hint="eastAsia" w:ascii="宋体" w:hAnsi="宋体" w:cs="宋体"/>
          <w:spacing w:val="10"/>
          <w:sz w:val="28"/>
          <w:szCs w:val="28"/>
          <w:lang w:val="en-US" w:eastAsia="zh-CN"/>
        </w:rPr>
        <w:t>的</w:t>
      </w:r>
      <w:r>
        <w:rPr>
          <w:rFonts w:hint="eastAsia" w:ascii="宋体" w:hAnsi="宋体" w:eastAsia="宋体" w:cs="宋体"/>
          <w:kern w:val="24"/>
          <w:sz w:val="28"/>
          <w:szCs w:val="28"/>
          <w:lang w:val="en-US" w:eastAsia="zh-CN"/>
        </w:rPr>
        <w:t>最终报价</w:t>
      </w:r>
      <w:r>
        <w:rPr>
          <w:rFonts w:hint="eastAsia" w:ascii="宋体" w:hAnsi="宋体" w:eastAsia="宋体" w:cs="宋体"/>
          <w:spacing w:val="10"/>
          <w:sz w:val="28"/>
          <w:szCs w:val="28"/>
        </w:rPr>
        <w:t>，</w:t>
      </w:r>
      <w:r>
        <w:rPr>
          <w:rFonts w:hint="eastAsia" w:ascii="宋体" w:hAnsi="宋体" w:cs="宋体"/>
          <w:spacing w:val="10"/>
          <w:sz w:val="28"/>
          <w:szCs w:val="28"/>
          <w:lang w:val="en-US" w:eastAsia="zh-CN"/>
        </w:rPr>
        <w:t>本次报价对应的其他</w:t>
      </w:r>
      <w:r>
        <w:rPr>
          <w:rFonts w:hint="eastAsia" w:ascii="宋体" w:hAnsi="宋体" w:eastAsia="宋体" w:cs="宋体"/>
          <w:color w:val="auto"/>
          <w:sz w:val="28"/>
          <w:szCs w:val="28"/>
          <w:lang w:val="en-US" w:eastAsia="zh-CN"/>
        </w:rPr>
        <w:t>投标内容均按投标文件、二次报价的约谈内容不变。</w:t>
      </w:r>
      <w:r>
        <w:rPr>
          <w:rFonts w:hint="eastAsia" w:ascii="宋体" w:hAnsi="宋体" w:cs="宋体"/>
          <w:color w:val="auto"/>
          <w:sz w:val="28"/>
          <w:szCs w:val="28"/>
          <w:lang w:val="en-US" w:eastAsia="zh-CN"/>
        </w:rPr>
        <w:t>我司确定，无论是否中标，今后均不再调整报价。</w:t>
      </w:r>
    </w:p>
    <w:p>
      <w:pPr>
        <w:pStyle w:val="4"/>
        <w:keepNext w:val="0"/>
        <w:keepLines w:val="0"/>
        <w:pageBreakBefore w:val="0"/>
        <w:widowControl w:val="0"/>
        <w:numPr>
          <w:ilvl w:val="0"/>
          <w:numId w:val="0"/>
        </w:numPr>
        <w:tabs>
          <w:tab w:val="left" w:pos="-199"/>
        </w:tabs>
        <w:kinsoku/>
        <w:wordWrap/>
        <w:overflowPunct/>
        <w:topLinePunct w:val="0"/>
        <w:autoSpaceDE/>
        <w:autoSpaceDN/>
        <w:bidi w:val="0"/>
        <w:adjustRightInd/>
        <w:snapToGrid w:val="0"/>
        <w:spacing w:line="480" w:lineRule="auto"/>
        <w:ind w:firstLine="560" w:firstLineChars="200"/>
        <w:textAlignment w:val="baseline"/>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我司对豪丰工业园火灾预警监控系统工程的最终投标报价为：</w:t>
      </w:r>
    </w:p>
    <w:p>
      <w:pPr>
        <w:pStyle w:val="4"/>
        <w:keepNext w:val="0"/>
        <w:keepLines w:val="0"/>
        <w:pageBreakBefore w:val="0"/>
        <w:widowControl w:val="0"/>
        <w:numPr>
          <w:ilvl w:val="0"/>
          <w:numId w:val="0"/>
        </w:numPr>
        <w:tabs>
          <w:tab w:val="left" w:pos="-199"/>
        </w:tabs>
        <w:kinsoku/>
        <w:wordWrap/>
        <w:overflowPunct/>
        <w:topLinePunct w:val="0"/>
        <w:autoSpaceDE/>
        <w:autoSpaceDN/>
        <w:bidi w:val="0"/>
        <w:adjustRightInd/>
        <w:snapToGrid w:val="0"/>
        <w:spacing w:line="480" w:lineRule="auto"/>
        <w:ind w:firstLine="600" w:firstLineChars="200"/>
        <w:textAlignment w:val="baseline"/>
        <w:rPr>
          <w:rFonts w:hint="default" w:ascii="宋体" w:hAnsi="宋体" w:eastAsia="宋体" w:cs="宋体"/>
          <w:spacing w:val="10"/>
          <w:sz w:val="28"/>
          <w:szCs w:val="28"/>
          <w:u w:val="single"/>
          <w:lang w:val="en-US" w:eastAsia="zh-CN"/>
        </w:rPr>
      </w:pPr>
      <w:r>
        <w:rPr>
          <w:rFonts w:hint="eastAsia" w:ascii="宋体" w:hAnsi="宋体" w:eastAsia="宋体" w:cs="宋体"/>
          <w:spacing w:val="10"/>
          <w:sz w:val="28"/>
          <w:szCs w:val="28"/>
        </w:rPr>
        <w:t>A标段以</w:t>
      </w:r>
      <w:r>
        <w:rPr>
          <w:rFonts w:hint="eastAsia" w:ascii="宋体" w:hAnsi="宋体" w:eastAsia="宋体" w:cs="宋体"/>
          <w:spacing w:val="10"/>
          <w:sz w:val="28"/>
          <w:szCs w:val="28"/>
          <w:lang w:val="en-US" w:eastAsia="zh-CN"/>
        </w:rPr>
        <w:t>固定单价、</w:t>
      </w:r>
      <w:r>
        <w:rPr>
          <w:rFonts w:hint="eastAsia" w:ascii="宋体" w:hAnsi="宋体" w:eastAsia="宋体" w:cs="宋体"/>
          <w:spacing w:val="10"/>
          <w:sz w:val="28"/>
          <w:szCs w:val="28"/>
        </w:rPr>
        <w:t>暂定总金额人民币(大写)：</w:t>
      </w:r>
      <w:r>
        <w:rPr>
          <w:rFonts w:hint="eastAsia" w:ascii="宋体" w:hAnsi="宋体" w:eastAsia="宋体" w:cs="宋体"/>
          <w:spacing w:val="10"/>
          <w:sz w:val="28"/>
          <w:szCs w:val="28"/>
          <w:u w:val="single"/>
        </w:rPr>
        <w:t xml:space="preserve"> </w:t>
      </w:r>
      <w:r>
        <w:rPr>
          <w:rFonts w:hint="eastAsia" w:ascii="宋体" w:hAnsi="宋体" w:eastAsia="宋体" w:cs="宋体"/>
          <w:spacing w:val="10"/>
          <w:sz w:val="28"/>
          <w:szCs w:val="28"/>
          <w:u w:val="single"/>
          <w:lang w:val="en-US" w:eastAsia="zh-CN"/>
        </w:rPr>
        <w:t xml:space="preserve">        </w:t>
      </w:r>
      <w:r>
        <w:rPr>
          <w:rFonts w:hint="eastAsia" w:ascii="宋体" w:hAnsi="宋体" w:cs="宋体"/>
          <w:spacing w:val="10"/>
          <w:sz w:val="28"/>
          <w:szCs w:val="28"/>
          <w:u w:val="single"/>
          <w:lang w:val="en-US" w:eastAsia="zh-CN"/>
        </w:rPr>
        <w:t>承接</w:t>
      </w:r>
      <w:r>
        <w:rPr>
          <w:rFonts w:hint="eastAsia" w:ascii="宋体" w:hAnsi="宋体" w:eastAsia="宋体" w:cs="宋体"/>
          <w:spacing w:val="10"/>
          <w:sz w:val="28"/>
          <w:szCs w:val="28"/>
          <w:u w:val="none"/>
          <w:lang w:val="en-US" w:eastAsia="zh-CN"/>
        </w:rPr>
        <w:t>；</w:t>
      </w:r>
    </w:p>
    <w:p>
      <w:pPr>
        <w:pStyle w:val="4"/>
        <w:keepNext w:val="0"/>
        <w:keepLines w:val="0"/>
        <w:pageBreakBefore w:val="0"/>
        <w:widowControl w:val="0"/>
        <w:numPr>
          <w:ilvl w:val="0"/>
          <w:numId w:val="0"/>
        </w:numPr>
        <w:tabs>
          <w:tab w:val="left" w:pos="-199"/>
        </w:tabs>
        <w:kinsoku/>
        <w:wordWrap/>
        <w:overflowPunct/>
        <w:topLinePunct w:val="0"/>
        <w:autoSpaceDE/>
        <w:autoSpaceDN/>
        <w:bidi w:val="0"/>
        <w:adjustRightInd/>
        <w:snapToGrid w:val="0"/>
        <w:spacing w:line="480" w:lineRule="auto"/>
        <w:ind w:firstLine="600" w:firstLineChars="200"/>
        <w:textAlignment w:val="baseline"/>
        <w:rPr>
          <w:rFonts w:hint="eastAsia" w:ascii="宋体" w:hAnsi="宋体" w:eastAsia="宋体" w:cs="宋体"/>
          <w:spacing w:val="10"/>
          <w:sz w:val="28"/>
          <w:szCs w:val="28"/>
        </w:rPr>
      </w:pPr>
      <w:r>
        <w:rPr>
          <w:rFonts w:hint="eastAsia" w:ascii="宋体" w:hAnsi="宋体" w:eastAsia="宋体" w:cs="宋体"/>
          <w:spacing w:val="10"/>
          <w:sz w:val="28"/>
          <w:szCs w:val="28"/>
        </w:rPr>
        <w:t>B标段以固定总金</w:t>
      </w:r>
      <w:r>
        <w:rPr>
          <w:rFonts w:hint="eastAsia" w:ascii="宋体" w:hAnsi="宋体" w:eastAsia="宋体" w:cs="宋体"/>
          <w:spacing w:val="10"/>
          <w:sz w:val="28"/>
          <w:szCs w:val="28"/>
          <w:u w:val="none"/>
        </w:rPr>
        <w:t>额</w:t>
      </w:r>
      <w:r>
        <w:rPr>
          <w:rFonts w:hint="eastAsia" w:ascii="宋体" w:hAnsi="宋体" w:eastAsia="宋体" w:cs="宋体"/>
          <w:spacing w:val="10"/>
          <w:sz w:val="28"/>
          <w:szCs w:val="28"/>
        </w:rPr>
        <w:t>人民币(大写)：</w:t>
      </w:r>
      <w:r>
        <w:rPr>
          <w:rFonts w:hint="eastAsia" w:ascii="宋体" w:hAnsi="宋体" w:eastAsia="宋体" w:cs="宋体"/>
          <w:spacing w:val="10"/>
          <w:sz w:val="28"/>
          <w:szCs w:val="28"/>
          <w:u w:val="single"/>
        </w:rPr>
        <w:t xml:space="preserve">    </w:t>
      </w:r>
      <w:r>
        <w:rPr>
          <w:rFonts w:hint="eastAsia" w:ascii="宋体" w:hAnsi="宋体" w:cs="宋体"/>
          <w:spacing w:val="10"/>
          <w:sz w:val="28"/>
          <w:szCs w:val="28"/>
          <w:u w:val="single"/>
          <w:lang w:val="en-US" w:eastAsia="zh-CN"/>
        </w:rPr>
        <w:t xml:space="preserve">    </w:t>
      </w:r>
      <w:r>
        <w:rPr>
          <w:rFonts w:hint="eastAsia" w:ascii="宋体" w:hAnsi="宋体" w:eastAsia="宋体" w:cs="宋体"/>
          <w:spacing w:val="10"/>
          <w:sz w:val="28"/>
          <w:szCs w:val="28"/>
          <w:u w:val="single"/>
        </w:rPr>
        <w:t xml:space="preserve">   </w:t>
      </w:r>
      <w:r>
        <w:rPr>
          <w:rFonts w:hint="eastAsia" w:ascii="宋体" w:hAnsi="宋体" w:eastAsia="宋体" w:cs="宋体"/>
          <w:spacing w:val="10"/>
          <w:sz w:val="28"/>
          <w:szCs w:val="28"/>
          <w:lang w:val="en-US" w:eastAsia="zh-CN"/>
        </w:rPr>
        <w:t>承接</w:t>
      </w:r>
      <w:r>
        <w:rPr>
          <w:rFonts w:hint="eastAsia" w:ascii="宋体" w:hAnsi="宋体" w:eastAsia="宋体" w:cs="宋体"/>
          <w:spacing w:val="10"/>
          <w:sz w:val="28"/>
          <w:szCs w:val="28"/>
        </w:rPr>
        <w:t>。</w:t>
      </w:r>
    </w:p>
    <w:p>
      <w:pPr>
        <w:pStyle w:val="4"/>
        <w:numPr>
          <w:ilvl w:val="0"/>
          <w:numId w:val="0"/>
        </w:numPr>
        <w:tabs>
          <w:tab w:val="left" w:pos="-199"/>
        </w:tabs>
        <w:snapToGrid w:val="0"/>
        <w:spacing w:line="480" w:lineRule="auto"/>
        <w:ind w:firstLine="600" w:firstLineChars="200"/>
        <w:textAlignment w:val="baseline"/>
        <w:rPr>
          <w:rFonts w:hint="eastAsia" w:ascii="宋体" w:hAnsi="宋体" w:cs="宋体"/>
          <w:spacing w:val="10"/>
          <w:sz w:val="28"/>
          <w:szCs w:val="28"/>
          <w:lang w:val="en-US" w:eastAsia="zh-CN"/>
        </w:rPr>
      </w:pPr>
      <w:r>
        <w:rPr>
          <w:rFonts w:hint="eastAsia" w:ascii="宋体" w:hAnsi="宋体" w:cs="宋体"/>
          <w:spacing w:val="10"/>
          <w:sz w:val="28"/>
          <w:szCs w:val="28"/>
          <w:lang w:val="en-US" w:eastAsia="zh-CN"/>
        </w:rPr>
        <w:t>特此报价。</w:t>
      </w:r>
    </w:p>
    <w:p>
      <w:pPr>
        <w:pStyle w:val="4"/>
        <w:numPr>
          <w:ilvl w:val="0"/>
          <w:numId w:val="0"/>
        </w:numPr>
        <w:tabs>
          <w:tab w:val="left" w:pos="-199"/>
        </w:tabs>
        <w:snapToGrid w:val="0"/>
        <w:spacing w:line="440" w:lineRule="exact"/>
        <w:ind w:firstLine="600" w:firstLineChars="200"/>
        <w:textAlignment w:val="baseline"/>
        <w:rPr>
          <w:rFonts w:hint="eastAsia" w:ascii="宋体" w:hAnsi="宋体" w:cs="宋体"/>
          <w:spacing w:val="10"/>
          <w:sz w:val="28"/>
          <w:szCs w:val="28"/>
          <w:lang w:val="en-US" w:eastAsia="zh-CN"/>
        </w:rPr>
      </w:pPr>
    </w:p>
    <w:p>
      <w:pPr>
        <w:pStyle w:val="4"/>
        <w:numPr>
          <w:ilvl w:val="0"/>
          <w:numId w:val="0"/>
        </w:numPr>
        <w:tabs>
          <w:tab w:val="left" w:pos="-199"/>
        </w:tabs>
        <w:snapToGrid w:val="0"/>
        <w:spacing w:line="440" w:lineRule="exact"/>
        <w:ind w:firstLine="600" w:firstLineChars="200"/>
        <w:textAlignment w:val="baseline"/>
        <w:rPr>
          <w:rFonts w:hint="default" w:ascii="宋体" w:hAnsi="宋体" w:cs="宋体"/>
          <w:spacing w:val="10"/>
          <w:sz w:val="28"/>
          <w:szCs w:val="28"/>
          <w:lang w:val="en-US" w:eastAsia="zh-CN"/>
        </w:rPr>
      </w:pPr>
    </w:p>
    <w:p>
      <w:pPr>
        <w:pStyle w:val="4"/>
        <w:numPr>
          <w:ilvl w:val="0"/>
          <w:numId w:val="0"/>
        </w:numPr>
        <w:tabs>
          <w:tab w:val="left" w:pos="-199"/>
        </w:tabs>
        <w:snapToGrid w:val="0"/>
        <w:spacing w:line="440" w:lineRule="exact"/>
        <w:ind w:firstLine="600" w:firstLineChars="200"/>
        <w:textAlignment w:val="baseline"/>
        <w:rPr>
          <w:rFonts w:hint="eastAsia" w:ascii="宋体" w:hAnsi="宋体" w:eastAsia="宋体" w:cs="宋体"/>
          <w:spacing w:val="10"/>
          <w:sz w:val="28"/>
          <w:szCs w:val="28"/>
        </w:rPr>
      </w:pPr>
      <w:r>
        <w:rPr>
          <w:rFonts w:hint="eastAsia" w:ascii="宋体" w:hAnsi="宋体" w:eastAsia="宋体" w:cs="宋体"/>
          <w:spacing w:val="10"/>
          <w:sz w:val="28"/>
          <w:szCs w:val="28"/>
        </w:rPr>
        <w:t xml:space="preserve">   </w:t>
      </w:r>
      <w:r>
        <w:rPr>
          <w:rFonts w:hint="eastAsia" w:ascii="宋体" w:hAnsi="宋体" w:cs="宋体"/>
          <w:spacing w:val="10"/>
          <w:sz w:val="28"/>
          <w:szCs w:val="28"/>
          <w:lang w:val="en-US" w:eastAsia="zh-CN"/>
        </w:rPr>
        <w:t xml:space="preserve">                </w:t>
      </w:r>
      <w:r>
        <w:rPr>
          <w:rFonts w:hint="eastAsia" w:ascii="宋体" w:hAnsi="宋体" w:eastAsia="宋体" w:cs="宋体"/>
          <w:spacing w:val="10"/>
          <w:sz w:val="28"/>
          <w:szCs w:val="28"/>
        </w:rPr>
        <w:t>投标单位（盖章）：</w:t>
      </w:r>
    </w:p>
    <w:p>
      <w:pPr>
        <w:pStyle w:val="4"/>
        <w:numPr>
          <w:ilvl w:val="0"/>
          <w:numId w:val="0"/>
        </w:numPr>
        <w:tabs>
          <w:tab w:val="left" w:pos="-199"/>
        </w:tabs>
        <w:snapToGrid w:val="0"/>
        <w:spacing w:line="440" w:lineRule="exact"/>
        <w:ind w:firstLine="600" w:firstLineChars="200"/>
        <w:textAlignment w:val="baseline"/>
        <w:rPr>
          <w:rFonts w:hint="eastAsia" w:ascii="宋体" w:hAnsi="宋体" w:eastAsia="宋体" w:cs="宋体"/>
          <w:spacing w:val="10"/>
          <w:sz w:val="28"/>
          <w:szCs w:val="28"/>
        </w:rPr>
      </w:pPr>
      <w:r>
        <w:rPr>
          <w:rFonts w:hint="eastAsia" w:ascii="宋体" w:hAnsi="宋体" w:eastAsia="宋体" w:cs="宋体"/>
          <w:spacing w:val="10"/>
          <w:sz w:val="28"/>
          <w:szCs w:val="28"/>
        </w:rPr>
        <w:t xml:space="preserve">   </w:t>
      </w:r>
    </w:p>
    <w:p>
      <w:pPr>
        <w:pStyle w:val="4"/>
        <w:numPr>
          <w:ilvl w:val="0"/>
          <w:numId w:val="0"/>
        </w:numPr>
        <w:tabs>
          <w:tab w:val="left" w:pos="-199"/>
        </w:tabs>
        <w:snapToGrid w:val="0"/>
        <w:spacing w:line="440" w:lineRule="exact"/>
        <w:jc w:val="center"/>
        <w:textAlignment w:val="baseline"/>
        <w:rPr>
          <w:rFonts w:hint="default" w:ascii="宋体" w:hAnsi="宋体" w:eastAsia="宋体" w:cs="宋体"/>
          <w:spacing w:val="10"/>
          <w:sz w:val="28"/>
          <w:szCs w:val="28"/>
          <w:lang w:val="en-US" w:eastAsia="zh-CN"/>
        </w:rPr>
      </w:pPr>
      <w:r>
        <w:rPr>
          <w:rFonts w:hint="eastAsia" w:ascii="宋体" w:hAnsi="宋体" w:cs="宋体"/>
          <w:spacing w:val="10"/>
          <w:sz w:val="28"/>
          <w:szCs w:val="28"/>
          <w:lang w:val="en-US" w:eastAsia="zh-CN"/>
        </w:rPr>
        <w:t xml:space="preserve">                      </w:t>
      </w:r>
      <w:r>
        <w:rPr>
          <w:rFonts w:hint="eastAsia" w:ascii="宋体" w:hAnsi="宋体" w:eastAsia="宋体" w:cs="宋体"/>
          <w:spacing w:val="10"/>
          <w:sz w:val="28"/>
          <w:szCs w:val="28"/>
        </w:rPr>
        <w:t>日        期：</w:t>
      </w:r>
      <w:r>
        <w:rPr>
          <w:rFonts w:hint="eastAsia" w:ascii="宋体" w:hAnsi="宋体" w:cs="宋体"/>
          <w:spacing w:val="10"/>
          <w:sz w:val="28"/>
          <w:szCs w:val="28"/>
          <w:lang w:val="en-US" w:eastAsia="zh-CN"/>
        </w:rPr>
        <w:t>2021年  月   日</w:t>
      </w:r>
    </w:p>
    <w:p>
      <w:pPr>
        <w:pStyle w:val="2"/>
        <w:jc w:val="right"/>
        <w:rPr>
          <w:rFonts w:hint="default"/>
          <w:color w:val="auto"/>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3916D2"/>
    <w:rsid w:val="1D784E93"/>
    <w:rsid w:val="1FD61D85"/>
    <w:rsid w:val="20CE71F8"/>
    <w:rsid w:val="28CB6796"/>
    <w:rsid w:val="2B3916D2"/>
    <w:rsid w:val="2CE05698"/>
    <w:rsid w:val="38EF078A"/>
    <w:rsid w:val="57D64B62"/>
    <w:rsid w:val="5973014C"/>
    <w:rsid w:val="5AD43648"/>
    <w:rsid w:val="5CF45657"/>
    <w:rsid w:val="6EC05D73"/>
    <w:rsid w:val="705541D8"/>
    <w:rsid w:val="72EB476E"/>
    <w:rsid w:val="78E430FA"/>
    <w:rsid w:val="7F3C50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w:basedOn w:val="3"/>
    <w:qFormat/>
    <w:uiPriority w:val="0"/>
    <w:pPr>
      <w:spacing w:after="120" w:line="240" w:lineRule="auto"/>
      <w:ind w:left="0" w:right="0" w:firstLine="420" w:firstLineChars="100"/>
    </w:pPr>
    <w:rPr>
      <w:kern w:val="2"/>
      <w:sz w:val="21"/>
      <w:szCs w:val="24"/>
    </w:rPr>
  </w:style>
  <w:style w:type="paragraph" w:styleId="3">
    <w:name w:val="Body Text"/>
    <w:basedOn w:val="1"/>
    <w:qFormat/>
    <w:uiPriority w:val="0"/>
    <w:rPr>
      <w:sz w:val="28"/>
    </w:rPr>
  </w:style>
  <w:style w:type="paragraph" w:styleId="4">
    <w:name w:val="Body Text Indent 2"/>
    <w:basedOn w:val="1"/>
    <w:qFormat/>
    <w:uiPriority w:val="0"/>
    <w:pPr>
      <w:ind w:left="360"/>
    </w:pPr>
    <w:rPr>
      <w:sz w:val="28"/>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2020-07-16T06:49:00Z</dcterms:created>
  <dc:creator>№☆3※§</dc:creator>
  <cp:lastModifiedBy>招采中心</cp:lastModifiedBy>
  <dcterms:modified xsi:type="dcterms:W3CDTF">2021-09-18T10:06:29Z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42B2F885779E4B18B23D797DA3BBACFB</vt:lpwstr>
  </property>
</Properties>
</file>