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440" w:lineRule="exact"/>
        <w:ind w:left="420" w:leftChars="0" w:right="-829" w:rightChars="-395" w:firstLine="420" w:firstLineChars="0"/>
        <w:jc w:val="center"/>
        <w:rPr>
          <w:rFonts w:hint="default" w:ascii="黑体" w:eastAsia="黑体"/>
          <w:sz w:val="26"/>
          <w:highlight w:val="none"/>
          <w:lang w:val="en-US"/>
        </w:rPr>
      </w:pPr>
      <w:r>
        <w:rPr>
          <w:rFonts w:hint="eastAsia" w:ascii="宋体" w:hAnsi="宋体"/>
          <w:color w:val="000000"/>
          <w:szCs w:val="24"/>
          <w:highlight w:val="none"/>
          <w:lang w:val="en-US" w:eastAsia="zh-CN"/>
        </w:rPr>
        <w:t xml:space="preserve">                                                               </w:t>
      </w:r>
      <w:r>
        <w:rPr>
          <w:rFonts w:hint="eastAsia" w:ascii="宋体" w:hAnsi="宋体"/>
          <w:color w:val="000000"/>
          <w:szCs w:val="24"/>
          <w:highlight w:val="none"/>
        </w:rPr>
        <w:t>编号：</w:t>
      </w:r>
    </w:p>
    <w:p>
      <w:pPr>
        <w:keepNext w:val="0"/>
        <w:keepLines w:val="0"/>
        <w:pageBreakBefore w:val="0"/>
        <w:widowControl w:val="0"/>
        <w:kinsoku/>
        <w:wordWrap/>
        <w:overflowPunct/>
        <w:topLinePunct w:val="0"/>
        <w:autoSpaceDE/>
        <w:autoSpaceDN/>
        <w:bidi w:val="0"/>
        <w:adjustRightInd/>
        <w:snapToGrid/>
        <w:spacing w:line="360" w:lineRule="exact"/>
        <w:ind w:right="-829" w:rightChars="-395"/>
        <w:jc w:val="center"/>
        <w:textAlignment w:val="auto"/>
        <w:rPr>
          <w:rFonts w:eastAsia="黑体"/>
          <w:sz w:val="26"/>
          <w:highlight w:val="none"/>
        </w:rPr>
      </w:pPr>
      <w:r>
        <w:rPr>
          <w:highlight w:val="none"/>
        </w:rPr>
        <w:drawing>
          <wp:anchor distT="0" distB="0" distL="114300" distR="114300" simplePos="0" relativeHeight="251660288" behindDoc="0" locked="0" layoutInCell="1" allowOverlap="1">
            <wp:simplePos x="0" y="0"/>
            <wp:positionH relativeFrom="column">
              <wp:posOffset>914400</wp:posOffset>
            </wp:positionH>
            <wp:positionV relativeFrom="paragraph">
              <wp:posOffset>99060</wp:posOffset>
            </wp:positionV>
            <wp:extent cx="428625" cy="428625"/>
            <wp:effectExtent l="0" t="0" r="9525" b="9525"/>
            <wp:wrapNone/>
            <wp:docPr id="2" name="图片 6" descr="U0Z2A~LY@W2G%7P4`62UB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U0Z2A~LY@W2G%7P4`62UBSH"/>
                    <pic:cNvPicPr>
                      <a:picLocks noChangeAspect="1"/>
                    </pic:cNvPicPr>
                  </pic:nvPicPr>
                  <pic:blipFill>
                    <a:blip r:embed="rId6"/>
                    <a:stretch>
                      <a:fillRect/>
                    </a:stretch>
                  </pic:blipFill>
                  <pic:spPr>
                    <a:xfrm>
                      <a:off x="0" y="0"/>
                      <a:ext cx="428625" cy="428625"/>
                    </a:xfrm>
                    <a:prstGeom prst="rect">
                      <a:avLst/>
                    </a:prstGeom>
                    <a:noFill/>
                    <a:ln w="9525">
                      <a:noFill/>
                    </a:ln>
                  </pic:spPr>
                </pic:pic>
              </a:graphicData>
            </a:graphic>
          </wp:anchor>
        </w:drawing>
      </w:r>
      <w:r>
        <w:rPr>
          <w:rFonts w:hint="eastAsia" w:ascii="黑体" w:eastAsia="黑体"/>
          <w:sz w:val="26"/>
          <w:highlight w:val="none"/>
        </w:rPr>
        <w:t>D</w:t>
      </w:r>
      <w:r>
        <w:rPr>
          <w:rFonts w:eastAsia="黑体"/>
          <w:sz w:val="26"/>
          <w:highlight w:val="none"/>
        </w:rPr>
        <w:t>ongguan ZhongTai Construct Install Engineering Co., Ltd.</w:t>
      </w:r>
    </w:p>
    <w:p>
      <w:pPr>
        <w:keepNext w:val="0"/>
        <w:keepLines w:val="0"/>
        <w:pageBreakBefore w:val="0"/>
        <w:widowControl w:val="0"/>
        <w:kinsoku/>
        <w:wordWrap/>
        <w:overflowPunct/>
        <w:topLinePunct w:val="0"/>
        <w:autoSpaceDE/>
        <w:autoSpaceDN/>
        <w:bidi w:val="0"/>
        <w:adjustRightInd/>
        <w:snapToGrid/>
        <w:spacing w:line="360" w:lineRule="exact"/>
        <w:ind w:right="-829" w:rightChars="-395"/>
        <w:jc w:val="center"/>
        <w:textAlignment w:val="auto"/>
        <w:rPr>
          <w:rFonts w:ascii="黑体" w:eastAsia="黑体"/>
          <w:sz w:val="32"/>
          <w:highlight w:val="none"/>
        </w:rPr>
      </w:pPr>
      <w:r>
        <w:rPr>
          <w:rFonts w:hint="eastAsia" w:ascii="黑体" w:eastAsia="黑体"/>
          <w:sz w:val="32"/>
          <w:highlight w:val="none"/>
        </w:rPr>
        <w:t>东莞市中泰建安工程有限公司</w:t>
      </w:r>
    </w:p>
    <w:p>
      <w:pPr>
        <w:keepNext w:val="0"/>
        <w:keepLines w:val="0"/>
        <w:pageBreakBefore w:val="0"/>
        <w:widowControl w:val="0"/>
        <w:kinsoku/>
        <w:wordWrap/>
        <w:overflowPunct/>
        <w:topLinePunct w:val="0"/>
        <w:autoSpaceDE/>
        <w:autoSpaceDN/>
        <w:bidi w:val="0"/>
        <w:adjustRightInd/>
        <w:snapToGrid/>
        <w:spacing w:before="435" w:line="540" w:lineRule="exact"/>
        <w:ind w:left="0" w:leftChars="0" w:right="0" w:rightChars="0" w:firstLine="0" w:firstLineChars="0"/>
        <w:jc w:val="center"/>
        <w:textAlignment w:val="auto"/>
        <w:outlineLvl w:val="9"/>
        <w:rPr>
          <w:rFonts w:hint="eastAsia" w:ascii="宋体" w:hAnsi="宋体"/>
          <w:sz w:val="36"/>
          <w:highlight w:val="none"/>
        </w:rPr>
      </w:pPr>
      <w:r>
        <w:rPr>
          <w:rFonts w:ascii="宋体" w:hAnsi="宋体"/>
          <w:b/>
          <w:sz w:val="20"/>
          <w:highlight w:val="none"/>
        </w:rPr>
        <mc:AlternateContent>
          <mc:Choice Requires="wps">
            <w:drawing>
              <wp:anchor distT="0" distB="0" distL="114935" distR="114935" simplePos="0" relativeHeight="251659264" behindDoc="0" locked="0" layoutInCell="1" allowOverlap="1">
                <wp:simplePos x="0" y="0"/>
                <wp:positionH relativeFrom="column">
                  <wp:posOffset>-19050</wp:posOffset>
                </wp:positionH>
                <wp:positionV relativeFrom="paragraph">
                  <wp:posOffset>144145</wp:posOffset>
                </wp:positionV>
                <wp:extent cx="6400800" cy="635"/>
                <wp:effectExtent l="0" t="28575" r="0" b="46990"/>
                <wp:wrapNone/>
                <wp:docPr id="1" name="直线 5"/>
                <wp:cNvGraphicFramePr/>
                <a:graphic xmlns:a="http://schemas.openxmlformats.org/drawingml/2006/main">
                  <a:graphicData uri="http://schemas.microsoft.com/office/word/2010/wordprocessingShape">
                    <wps:wsp>
                      <wps:cNvCnPr/>
                      <wps:spPr>
                        <a:xfrm>
                          <a:off x="0" y="0"/>
                          <a:ext cx="6400800" cy="635"/>
                        </a:xfrm>
                        <a:prstGeom prst="line">
                          <a:avLst/>
                        </a:prstGeom>
                        <a:ln w="57150" cap="flat" cmpd="thinThick">
                          <a:solidFill>
                            <a:srgbClr val="000000"/>
                          </a:solidFill>
                          <a:prstDash val="solid"/>
                          <a:headEnd type="none" w="med" len="med"/>
                          <a:tailEnd type="none" w="med" len="med"/>
                        </a:ln>
                      </wps:spPr>
                      <wps:bodyPr upright="1"/>
                    </wps:wsp>
                  </a:graphicData>
                </a:graphic>
              </wp:anchor>
            </w:drawing>
          </mc:Choice>
          <mc:Fallback>
            <w:pict>
              <v:line id="直线 5" o:spid="_x0000_s1026" o:spt="20" style="position:absolute;left:0pt;margin-left:-1.5pt;margin-top:11.35pt;height:0.05pt;width:504pt;z-index:251659264;mso-width-relative:page;mso-height-relative:page;" filled="f" stroked="t" coordsize="21600,21600" o:gfxdata="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FvKSW3YAAAACQEAAA8AAAAAAAAAAQAgAAAAIgAAAGRycy9kb3ducmV2LnhtbFBLAQIUABQA&#10;AAAIAIdO4kAThAvy8AEAAOQDAAAOAAAAAAAAAAEAIAAAACcBAABkcnMvZTJvRG9jLnhtbFBLBQYA&#10;AAAABgAGAFkBAACJBQAAAAA=&#10;">
                <v:fill on="f" focussize="0,0"/>
                <v:stroke weight="4.5pt" color="#000000" linestyle="thinThick" joinstyle="round"/>
                <v:imagedata o:title=""/>
                <o:lock v:ext="edit" aspectratio="f"/>
              </v:line>
            </w:pict>
          </mc:Fallback>
        </mc:AlternateContent>
      </w:r>
      <w:r>
        <w:rPr>
          <w:rFonts w:hint="eastAsia" w:ascii="宋体" w:hAnsi="宋体"/>
          <w:b/>
          <w:sz w:val="36"/>
          <w:highlight w:val="none"/>
        </w:rPr>
        <w:t>项目</w:t>
      </w:r>
      <w:r>
        <w:rPr>
          <w:rFonts w:hint="eastAsia" w:ascii="宋体" w:hAnsi="宋体"/>
          <w:b/>
          <w:sz w:val="36"/>
          <w:highlight w:val="none"/>
          <w:lang w:eastAsia="zh-CN"/>
        </w:rPr>
        <w:t>施工合同（</w:t>
      </w:r>
      <w:r>
        <w:rPr>
          <w:rFonts w:hint="eastAsia" w:ascii="宋体" w:hAnsi="宋体"/>
          <w:b/>
          <w:sz w:val="36"/>
          <w:highlight w:val="none"/>
          <w:lang w:val="en-US" w:eastAsia="zh-CN"/>
        </w:rPr>
        <w:t>20220407版</w:t>
      </w:r>
      <w:r>
        <w:rPr>
          <w:rFonts w:hint="eastAsia" w:ascii="宋体" w:hAnsi="宋体"/>
          <w:b/>
          <w:sz w:val="36"/>
          <w:highlight w:val="none"/>
          <w:lang w:eastAsia="zh-CN"/>
        </w:rPr>
        <w:t>）</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textAlignment w:val="auto"/>
        <w:outlineLvl w:val="9"/>
        <w:rPr>
          <w:rFonts w:hint="eastAsia" w:ascii="宋体" w:hAnsi="宋体"/>
          <w:color w:val="000000"/>
          <w:szCs w:val="24"/>
          <w:highlight w:val="none"/>
        </w:rPr>
      </w:pPr>
      <w:r>
        <w:rPr>
          <w:rFonts w:hint="eastAsia" w:ascii="宋体" w:hAnsi="宋体"/>
          <w:color w:val="000000"/>
          <w:szCs w:val="24"/>
          <w:highlight w:val="none"/>
        </w:rPr>
        <w:t xml:space="preserve">                                                                         </w:t>
      </w:r>
      <w:r>
        <w:rPr>
          <w:rFonts w:hint="eastAsia" w:ascii="宋体" w:hAnsi="宋体"/>
          <w:color w:val="000000"/>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10" w:lineRule="exact"/>
        <w:ind w:right="0" w:rightChars="0"/>
        <w:textAlignment w:val="auto"/>
        <w:outlineLvl w:val="9"/>
        <w:rPr>
          <w:rFonts w:hint="eastAsia" w:ascii="宋体" w:hAnsi="宋体"/>
          <w:color w:val="000000"/>
          <w:szCs w:val="24"/>
          <w:highlight w:val="none"/>
        </w:rPr>
      </w:pPr>
      <w:r>
        <w:rPr>
          <w:rFonts w:hint="eastAsia" w:ascii="宋体" w:hAnsi="宋体"/>
          <w:color w:val="000000"/>
          <w:szCs w:val="24"/>
          <w:highlight w:val="none"/>
        </w:rPr>
        <w:t>发包人（以下简称甲方）：</w:t>
      </w:r>
      <w:r>
        <w:rPr>
          <w:rFonts w:hint="eastAsia" w:ascii="宋体" w:hAnsi="宋体"/>
          <w:color w:val="000000"/>
          <w:szCs w:val="24"/>
          <w:highlight w:val="none"/>
          <w:u w:val="single"/>
        </w:rPr>
        <w:t xml:space="preserve">  东莞市中泰建安工程有限公司  </w:t>
      </w:r>
    </w:p>
    <w:p>
      <w:pPr>
        <w:keepNext w:val="0"/>
        <w:keepLines w:val="0"/>
        <w:pageBreakBefore w:val="0"/>
        <w:widowControl w:val="0"/>
        <w:kinsoku/>
        <w:wordWrap/>
        <w:overflowPunct/>
        <w:topLinePunct w:val="0"/>
        <w:autoSpaceDE/>
        <w:autoSpaceDN/>
        <w:bidi w:val="0"/>
        <w:adjustRightInd/>
        <w:snapToGrid/>
        <w:spacing w:line="310" w:lineRule="exact"/>
        <w:ind w:right="0" w:rightChars="0"/>
        <w:jc w:val="left"/>
        <w:textAlignment w:val="auto"/>
        <w:outlineLvl w:val="9"/>
        <w:rPr>
          <w:rFonts w:hint="eastAsia" w:ascii="宋体" w:hAnsi="宋体"/>
          <w:color w:val="000000"/>
          <w:szCs w:val="24"/>
          <w:highlight w:val="none"/>
          <w:u w:val="single"/>
          <w:lang w:val="en-US" w:eastAsia="zh-CN"/>
        </w:rPr>
      </w:pPr>
      <w:r>
        <w:rPr>
          <w:rFonts w:hint="eastAsia" w:ascii="宋体" w:hAnsi="宋体"/>
          <w:color w:val="000000"/>
          <w:szCs w:val="24"/>
          <w:highlight w:val="none"/>
        </w:rPr>
        <w:t>承包人（以下简称乙方）：</w:t>
      </w:r>
      <w:r>
        <w:rPr>
          <w:rFonts w:hint="eastAsia" w:ascii="宋体" w:hAnsi="宋体"/>
          <w:color w:val="000000"/>
          <w:szCs w:val="24"/>
          <w:highlight w:val="none"/>
          <w:u w:val="single"/>
        </w:rPr>
        <w:t xml:space="preserve">  </w:t>
      </w:r>
      <w:r>
        <w:rPr>
          <w:rFonts w:hint="eastAsia" w:ascii="宋体" w:hAnsi="宋体"/>
          <w:color w:val="000000"/>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10" w:lineRule="exact"/>
        <w:ind w:right="0" w:rightChars="0"/>
        <w:jc w:val="left"/>
        <w:textAlignment w:val="auto"/>
        <w:outlineLvl w:val="9"/>
        <w:rPr>
          <w:rFonts w:hint="default" w:ascii="宋体" w:hAnsi="宋体"/>
          <w:color w:val="000000"/>
          <w:szCs w:val="24"/>
          <w:highlight w:val="none"/>
          <w:u w:val="single"/>
          <w:lang w:val="en-US" w:eastAsia="zh-CN"/>
        </w:rPr>
      </w:pPr>
    </w:p>
    <w:p>
      <w:pPr>
        <w:keepNext w:val="0"/>
        <w:keepLines w:val="0"/>
        <w:pageBreakBefore w:val="0"/>
        <w:widowControl w:val="0"/>
        <w:tabs>
          <w:tab w:val="left" w:pos="6780"/>
        </w:tabs>
        <w:kinsoku/>
        <w:wordWrap/>
        <w:overflowPunct/>
        <w:topLinePunct w:val="0"/>
        <w:autoSpaceDE/>
        <w:autoSpaceDN/>
        <w:bidi w:val="0"/>
        <w:adjustRightInd/>
        <w:snapToGrid w:val="0"/>
        <w:spacing w:line="310" w:lineRule="exact"/>
        <w:ind w:left="0" w:leftChars="0" w:right="0" w:rightChars="0" w:firstLine="315" w:firstLineChars="150"/>
        <w:jc w:val="both"/>
        <w:textAlignment w:val="auto"/>
        <w:outlineLvl w:val="9"/>
        <w:rPr>
          <w:rFonts w:ascii="宋体" w:hAnsi="宋体" w:cs="宋体"/>
          <w:szCs w:val="21"/>
          <w:highlight w:val="none"/>
        </w:rPr>
      </w:pPr>
      <w:r>
        <w:rPr>
          <w:rFonts w:hint="eastAsia" w:ascii="宋体" w:hAnsi="宋体" w:cs="宋体"/>
          <w:szCs w:val="21"/>
          <w:highlight w:val="none"/>
        </w:rPr>
        <w:t xml:space="preserve"> 根据对乙方的考察以及乙方充分考虑自身能力后，甲方同意将</w:t>
      </w:r>
      <w:r>
        <w:rPr>
          <w:rFonts w:hint="eastAsia" w:ascii="宋体" w:hAnsi="宋体" w:cs="宋体"/>
          <w:szCs w:val="21"/>
          <w:highlight w:val="none"/>
          <w:lang w:eastAsia="zh-CN"/>
        </w:rPr>
        <w:t>本项目</w:t>
      </w:r>
      <w:r>
        <w:rPr>
          <w:rFonts w:hint="eastAsia" w:ascii="宋体" w:hAnsi="宋体" w:cs="宋体"/>
          <w:szCs w:val="21"/>
          <w:highlight w:val="none"/>
        </w:rPr>
        <w:t>中的</w:t>
      </w:r>
      <w:r>
        <w:rPr>
          <w:rFonts w:hint="eastAsia" w:ascii="宋体" w:hAnsi="宋体" w:cs="宋体"/>
          <w:szCs w:val="21"/>
          <w:highlight w:val="none"/>
          <w:u w:val="single"/>
        </w:rPr>
        <w:t xml:space="preserve"> </w:t>
      </w:r>
      <w:r>
        <w:rPr>
          <w:rFonts w:hint="eastAsia" w:ascii="宋体" w:hAnsi="宋体" w:cs="宋体"/>
          <w:b/>
          <w:bCs/>
          <w:szCs w:val="21"/>
          <w:highlight w:val="none"/>
          <w:u w:val="single"/>
          <w:lang w:eastAsia="zh-CN"/>
        </w:rPr>
        <w:t>入户门及屋面机房钢门</w:t>
      </w:r>
      <w:r>
        <w:rPr>
          <w:rFonts w:hint="eastAsia" w:ascii="宋体" w:hAnsi="宋体" w:cs="宋体"/>
          <w:b/>
          <w:bCs/>
          <w:szCs w:val="21"/>
          <w:highlight w:val="none"/>
          <w:u w:val="single"/>
          <w:lang w:val="en-US" w:eastAsia="zh-CN"/>
        </w:rPr>
        <w:t>制作、安装</w:t>
      </w:r>
      <w:r>
        <w:rPr>
          <w:rFonts w:hint="eastAsia" w:ascii="宋体" w:hAnsi="宋体" w:cs="宋体"/>
          <w:b/>
          <w:color w:val="000000"/>
          <w:szCs w:val="21"/>
          <w:highlight w:val="none"/>
          <w:u w:val="single"/>
        </w:rPr>
        <w:t xml:space="preserve"> </w:t>
      </w:r>
      <w:r>
        <w:rPr>
          <w:rFonts w:hint="eastAsia" w:ascii="宋体" w:hAnsi="宋体" w:cs="宋体"/>
          <w:szCs w:val="21"/>
          <w:highlight w:val="none"/>
          <w:lang w:eastAsia="zh-CN"/>
        </w:rPr>
        <w:t>工程</w:t>
      </w:r>
      <w:r>
        <w:rPr>
          <w:rFonts w:hint="eastAsia" w:ascii="宋体" w:hAnsi="宋体" w:cs="宋体"/>
          <w:szCs w:val="21"/>
          <w:highlight w:val="none"/>
        </w:rPr>
        <w:t>（以下简称“</w:t>
      </w:r>
      <w:r>
        <w:rPr>
          <w:rFonts w:hint="eastAsia" w:ascii="宋体" w:hAnsi="宋体" w:cs="宋体"/>
          <w:szCs w:val="21"/>
          <w:highlight w:val="none"/>
          <w:lang w:eastAsia="zh-CN"/>
        </w:rPr>
        <w:t>本工程</w:t>
      </w:r>
      <w:r>
        <w:rPr>
          <w:rFonts w:hint="eastAsia" w:ascii="宋体" w:hAnsi="宋体" w:cs="宋体"/>
          <w:szCs w:val="21"/>
          <w:highlight w:val="none"/>
        </w:rPr>
        <w:t>”）以</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包工包料 </w:t>
      </w:r>
      <w:r>
        <w:rPr>
          <w:rFonts w:hint="eastAsia" w:ascii="宋体" w:hAnsi="宋体" w:cs="宋体"/>
          <w:szCs w:val="21"/>
          <w:highlight w:val="none"/>
        </w:rPr>
        <w:t>的形式交由乙方</w:t>
      </w:r>
      <w:r>
        <w:rPr>
          <w:rFonts w:hint="eastAsia" w:ascii="宋体" w:hAnsi="宋体" w:cs="宋体"/>
          <w:szCs w:val="21"/>
          <w:highlight w:val="none"/>
          <w:lang w:val="en-US" w:eastAsia="zh-CN"/>
        </w:rPr>
        <w:t>承包</w:t>
      </w:r>
      <w:r>
        <w:rPr>
          <w:rFonts w:hint="eastAsia" w:ascii="宋体" w:hAnsi="宋体" w:cs="宋体"/>
          <w:szCs w:val="21"/>
          <w:highlight w:val="none"/>
        </w:rPr>
        <w:t>。为明确乙方应按时、保质、保量完成施工任务的责任，以及甲方应按时支付施工报酬的义务，现双方在平等、自愿、诚信、合法原则下，签订本</w:t>
      </w:r>
      <w:r>
        <w:rPr>
          <w:rFonts w:hint="eastAsia" w:ascii="宋体" w:hAnsi="宋体" w:cs="宋体"/>
          <w:szCs w:val="21"/>
          <w:highlight w:val="none"/>
          <w:lang w:eastAsia="zh-CN"/>
        </w:rPr>
        <w:t>合同</w:t>
      </w:r>
      <w:r>
        <w:rPr>
          <w:rFonts w:hint="eastAsia" w:ascii="宋体" w:hAnsi="宋体" w:cs="宋体"/>
          <w:szCs w:val="21"/>
          <w:highlight w:val="none"/>
        </w:rPr>
        <w:t>：</w:t>
      </w:r>
    </w:p>
    <w:p>
      <w:pPr>
        <w:keepNext w:val="0"/>
        <w:keepLines w:val="0"/>
        <w:pageBreakBefore w:val="0"/>
        <w:widowControl w:val="0"/>
        <w:kinsoku/>
        <w:wordWrap/>
        <w:overflowPunct/>
        <w:topLinePunct w:val="0"/>
        <w:autoSpaceDE/>
        <w:autoSpaceDN/>
        <w:bidi w:val="0"/>
        <w:adjustRightInd/>
        <w:spacing w:line="310" w:lineRule="exact"/>
        <w:ind w:right="0" w:rightChars="0" w:firstLine="0" w:firstLineChars="0"/>
        <w:jc w:val="both"/>
        <w:textAlignment w:val="auto"/>
        <w:outlineLvl w:val="9"/>
        <w:rPr>
          <w:rFonts w:hint="eastAsia" w:ascii="宋体" w:hAnsi="宋体"/>
          <w:b/>
          <w:bCs/>
          <w:color w:val="000000"/>
          <w:szCs w:val="24"/>
          <w:highlight w:val="none"/>
        </w:rPr>
      </w:pPr>
      <w:r>
        <w:rPr>
          <w:rFonts w:hint="eastAsia" w:ascii="宋体" w:hAnsi="宋体"/>
          <w:b/>
          <w:bCs/>
          <w:color w:val="000000"/>
          <w:szCs w:val="24"/>
          <w:highlight w:val="none"/>
        </w:rPr>
        <w:t>一、</w:t>
      </w:r>
      <w:r>
        <w:rPr>
          <w:rFonts w:hint="eastAsia" w:ascii="宋体" w:hAnsi="宋体"/>
          <w:b/>
          <w:bCs/>
          <w:color w:val="000000"/>
          <w:szCs w:val="24"/>
          <w:highlight w:val="none"/>
          <w:lang w:val="en-US" w:eastAsia="zh-CN"/>
        </w:rPr>
        <w:t>项目</w:t>
      </w:r>
      <w:r>
        <w:rPr>
          <w:rFonts w:hint="eastAsia" w:ascii="宋体" w:hAnsi="宋体"/>
          <w:b/>
          <w:bCs/>
          <w:color w:val="000000"/>
          <w:szCs w:val="24"/>
          <w:highlight w:val="none"/>
        </w:rPr>
        <w:t>概况：</w:t>
      </w:r>
    </w:p>
    <w:p>
      <w:pPr>
        <w:keepNext w:val="0"/>
        <w:keepLines w:val="0"/>
        <w:pageBreakBefore w:val="0"/>
        <w:widowControl w:val="0"/>
        <w:tabs>
          <w:tab w:val="left" w:pos="840"/>
        </w:tabs>
        <w:kinsoku/>
        <w:wordWrap/>
        <w:overflowPunct/>
        <w:topLinePunct w:val="0"/>
        <w:autoSpaceDE/>
        <w:autoSpaceDN/>
        <w:bidi w:val="0"/>
        <w:adjustRightInd/>
        <w:spacing w:line="310" w:lineRule="exact"/>
        <w:ind w:left="420" w:right="0" w:rightChars="0" w:firstLine="0" w:firstLineChars="0"/>
        <w:jc w:val="both"/>
        <w:textAlignment w:val="auto"/>
        <w:outlineLvl w:val="9"/>
        <w:rPr>
          <w:rFonts w:hint="default" w:ascii="宋体" w:hAnsi="宋体" w:eastAsia="宋体"/>
          <w:color w:val="000000"/>
          <w:szCs w:val="24"/>
          <w:highlight w:val="none"/>
          <w:lang w:val="en-US" w:eastAsia="zh-CN"/>
        </w:rPr>
      </w:pPr>
      <w:r>
        <w:rPr>
          <w:rFonts w:hint="eastAsia" w:cs="Times New Roman"/>
          <w:highlight w:val="none"/>
          <w:lang w:val="en-US" w:eastAsia="zh-CN"/>
        </w:rPr>
        <w:t>1.1本</w:t>
      </w:r>
      <w:r>
        <w:rPr>
          <w:rFonts w:hint="eastAsia" w:ascii="宋体" w:hAnsi="宋体"/>
          <w:color w:val="000000"/>
          <w:szCs w:val="24"/>
          <w:highlight w:val="none"/>
          <w:lang w:val="en-US" w:eastAsia="zh-CN"/>
        </w:rPr>
        <w:t>项目</w:t>
      </w:r>
      <w:r>
        <w:rPr>
          <w:rFonts w:hint="eastAsia" w:ascii="宋体" w:hAnsi="宋体"/>
          <w:color w:val="000000"/>
          <w:szCs w:val="24"/>
          <w:highlight w:val="none"/>
        </w:rPr>
        <w:t>名称：</w:t>
      </w:r>
      <w:r>
        <w:rPr>
          <w:rFonts w:hint="eastAsia" w:ascii="宋体" w:hAnsi="宋体" w:cs="宋体"/>
          <w:sz w:val="21"/>
          <w:szCs w:val="21"/>
          <w:highlight w:val="none"/>
          <w:u w:val="single"/>
          <w:lang w:val="en-US" w:eastAsia="zh-CN"/>
        </w:rPr>
        <w:t>南峰水岸华府三期建设项目</w:t>
      </w:r>
    </w:p>
    <w:p>
      <w:pPr>
        <w:keepNext w:val="0"/>
        <w:keepLines w:val="0"/>
        <w:pageBreakBefore w:val="0"/>
        <w:widowControl w:val="0"/>
        <w:tabs>
          <w:tab w:val="left" w:pos="840"/>
        </w:tabs>
        <w:kinsoku/>
        <w:wordWrap/>
        <w:overflowPunct/>
        <w:topLinePunct w:val="0"/>
        <w:autoSpaceDE/>
        <w:autoSpaceDN/>
        <w:bidi w:val="0"/>
        <w:adjustRightInd/>
        <w:spacing w:line="310" w:lineRule="exact"/>
        <w:ind w:left="420" w:right="0" w:rightChars="0" w:firstLine="0" w:firstLineChars="0"/>
        <w:jc w:val="both"/>
        <w:textAlignment w:val="auto"/>
        <w:outlineLvl w:val="9"/>
        <w:rPr>
          <w:rFonts w:hint="eastAsia" w:ascii="宋体" w:hAnsi="宋体"/>
          <w:color w:val="000000"/>
          <w:szCs w:val="24"/>
          <w:highlight w:val="none"/>
          <w:u w:val="single"/>
          <w:lang w:val="en-US" w:eastAsia="zh-CN"/>
        </w:rPr>
      </w:pPr>
      <w:r>
        <w:rPr>
          <w:rFonts w:hint="eastAsia" w:cs="Times New Roman"/>
          <w:highlight w:val="none"/>
          <w:lang w:val="en-US" w:eastAsia="zh-CN"/>
        </w:rPr>
        <w:t>1.2项</w:t>
      </w:r>
      <w:r>
        <w:rPr>
          <w:rFonts w:hint="eastAsia" w:ascii="宋体" w:hAnsi="宋体"/>
          <w:color w:val="000000"/>
          <w:szCs w:val="24"/>
          <w:highlight w:val="none"/>
          <w:lang w:val="en-US" w:eastAsia="zh-CN"/>
        </w:rPr>
        <w:t>目</w:t>
      </w:r>
      <w:r>
        <w:rPr>
          <w:rFonts w:hint="eastAsia" w:ascii="宋体" w:hAnsi="宋体"/>
          <w:color w:val="000000"/>
          <w:szCs w:val="24"/>
          <w:highlight w:val="none"/>
        </w:rPr>
        <w:t>地点：</w:t>
      </w:r>
      <w:r>
        <w:rPr>
          <w:rFonts w:hint="eastAsia" w:ascii="宋体" w:hAnsi="宋体"/>
          <w:color w:val="000000"/>
          <w:szCs w:val="24"/>
          <w:highlight w:val="none"/>
          <w:u w:val="single"/>
          <w:lang w:val="en-US" w:eastAsia="zh-CN"/>
        </w:rPr>
        <w:t>四川省成都市都江堰市永安大道西侧永友路北侧</w:t>
      </w:r>
    </w:p>
    <w:p>
      <w:pPr>
        <w:keepNext w:val="0"/>
        <w:keepLines w:val="0"/>
        <w:pageBreakBefore w:val="0"/>
        <w:widowControl w:val="0"/>
        <w:tabs>
          <w:tab w:val="left" w:pos="840"/>
        </w:tabs>
        <w:kinsoku/>
        <w:wordWrap/>
        <w:overflowPunct/>
        <w:topLinePunct w:val="0"/>
        <w:autoSpaceDE/>
        <w:autoSpaceDN/>
        <w:bidi w:val="0"/>
        <w:adjustRightInd/>
        <w:spacing w:line="310" w:lineRule="exact"/>
        <w:ind w:left="420" w:right="0" w:rightChars="0" w:firstLine="0" w:firstLineChars="0"/>
        <w:jc w:val="both"/>
        <w:textAlignment w:val="auto"/>
        <w:outlineLvl w:val="9"/>
        <w:rPr>
          <w:rFonts w:hint="eastAsia" w:ascii="宋体" w:hAnsi="宋体"/>
          <w:color w:val="000000"/>
          <w:szCs w:val="24"/>
          <w:highlight w:val="none"/>
        </w:rPr>
      </w:pPr>
      <w:r>
        <w:rPr>
          <w:rFonts w:hint="eastAsia" w:cs="Times New Roman"/>
          <w:highlight w:val="none"/>
          <w:lang w:val="en-US" w:eastAsia="zh-CN"/>
        </w:rPr>
        <w:t>1.3施工范</w:t>
      </w:r>
      <w:r>
        <w:rPr>
          <w:rFonts w:hint="eastAsia" w:ascii="宋体" w:hAnsi="宋体"/>
          <w:color w:val="000000"/>
          <w:szCs w:val="24"/>
          <w:highlight w:val="none"/>
        </w:rPr>
        <w:t>围：</w:t>
      </w:r>
      <w:r>
        <w:rPr>
          <w:rFonts w:hint="eastAsia" w:ascii="宋体" w:hAnsi="宋体"/>
          <w:color w:val="000000"/>
          <w:szCs w:val="24"/>
          <w:highlight w:val="none"/>
          <w:u w:val="single"/>
          <w:lang w:val="en-US" w:eastAsia="zh-CN"/>
        </w:rPr>
        <w:t>南峰水岸华府项目三期工程图纸范围内所有涉及入户门及甲方要求的相关工作，具体按建设单位、甲方签字确认的图纸及相关文件执行</w:t>
      </w:r>
      <w:r>
        <w:rPr>
          <w:rFonts w:hint="eastAsia" w:ascii="宋体" w:hAnsi="宋体"/>
          <w:szCs w:val="21"/>
          <w:highlight w:val="none"/>
        </w:rPr>
        <w:t>。</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jc w:val="both"/>
        <w:textAlignment w:val="auto"/>
        <w:outlineLvl w:val="9"/>
        <w:rPr>
          <w:rFonts w:hint="eastAsia" w:ascii="宋体" w:hAnsi="宋体"/>
          <w:b/>
          <w:bCs/>
          <w:color w:val="000000"/>
          <w:szCs w:val="24"/>
          <w:highlight w:val="none"/>
        </w:rPr>
      </w:pPr>
      <w:r>
        <w:rPr>
          <w:rFonts w:hint="eastAsia" w:ascii="宋体" w:hAnsi="宋体"/>
          <w:b/>
          <w:bCs/>
          <w:color w:val="000000"/>
          <w:szCs w:val="24"/>
          <w:highlight w:val="none"/>
        </w:rPr>
        <w:t>二、</w:t>
      </w:r>
      <w:r>
        <w:rPr>
          <w:rFonts w:hint="eastAsia" w:ascii="宋体" w:hAnsi="宋体"/>
          <w:b/>
          <w:bCs/>
          <w:color w:val="000000"/>
          <w:szCs w:val="24"/>
          <w:highlight w:val="none"/>
          <w:lang w:eastAsia="zh-CN"/>
        </w:rPr>
        <w:t>工期要求</w:t>
      </w:r>
      <w:r>
        <w:rPr>
          <w:rFonts w:hint="eastAsia" w:ascii="宋体" w:hAnsi="宋体"/>
          <w:b/>
          <w:bCs/>
          <w:color w:val="000000"/>
          <w:szCs w:val="24"/>
          <w:highlight w:val="none"/>
        </w:rPr>
        <w:t>：</w:t>
      </w:r>
    </w:p>
    <w:p>
      <w:pPr>
        <w:keepNext w:val="0"/>
        <w:keepLines w:val="0"/>
        <w:pageBreakBefore w:val="0"/>
        <w:widowControl w:val="0"/>
        <w:tabs>
          <w:tab w:val="left" w:pos="840"/>
        </w:tabs>
        <w:kinsoku/>
        <w:wordWrap/>
        <w:overflowPunct/>
        <w:topLinePunct w:val="0"/>
        <w:autoSpaceDE/>
        <w:autoSpaceDN/>
        <w:bidi w:val="0"/>
        <w:adjustRightInd/>
        <w:snapToGrid/>
        <w:spacing w:line="310" w:lineRule="exact"/>
        <w:ind w:left="0" w:leftChars="0" w:right="0" w:rightChars="0" w:firstLine="420" w:firstLineChars="200"/>
        <w:jc w:val="both"/>
        <w:textAlignment w:val="auto"/>
        <w:outlineLvl w:val="9"/>
        <w:rPr>
          <w:rFonts w:hint="eastAsia" w:ascii="宋体" w:hAnsi="宋体"/>
          <w:color w:val="000000"/>
          <w:szCs w:val="24"/>
          <w:highlight w:val="none"/>
        </w:rPr>
      </w:pPr>
      <w:r>
        <w:rPr>
          <w:rFonts w:hint="eastAsia" w:cs="Times New Roman"/>
          <w:highlight w:val="none"/>
          <w:lang w:val="en-US" w:eastAsia="zh-CN"/>
        </w:rPr>
        <w:t>2.1入户</w:t>
      </w:r>
      <w:r>
        <w:rPr>
          <w:rFonts w:hint="eastAsia" w:ascii="宋体" w:hAnsi="宋体" w:cs="宋体"/>
          <w:b w:val="0"/>
          <w:bCs w:val="0"/>
          <w:szCs w:val="21"/>
          <w:highlight w:val="none"/>
          <w:shd w:val="clear" w:color="auto" w:fill="auto"/>
          <w:lang w:val="en-US" w:eastAsia="zh-CN"/>
        </w:rPr>
        <w:t>门制作货期为</w:t>
      </w:r>
      <w:r>
        <w:rPr>
          <w:rFonts w:hint="eastAsia" w:ascii="宋体" w:hAnsi="宋体" w:cs="宋体"/>
          <w:b w:val="0"/>
          <w:bCs w:val="0"/>
          <w:szCs w:val="21"/>
          <w:highlight w:val="none"/>
          <w:u w:val="single"/>
          <w:shd w:val="clear" w:color="auto" w:fill="auto"/>
          <w:lang w:val="en-US" w:eastAsia="zh-CN"/>
        </w:rPr>
        <w:t>35</w:t>
      </w:r>
      <w:r>
        <w:rPr>
          <w:rFonts w:hint="eastAsia" w:ascii="宋体" w:hAnsi="宋体" w:cs="宋体"/>
          <w:b w:val="0"/>
          <w:bCs w:val="0"/>
          <w:szCs w:val="21"/>
          <w:highlight w:val="none"/>
          <w:u w:val="none"/>
          <w:shd w:val="clear" w:color="auto" w:fill="auto"/>
          <w:lang w:val="en-US" w:eastAsia="zh-CN"/>
        </w:rPr>
        <w:t>个日历天，</w:t>
      </w:r>
      <w:r>
        <w:rPr>
          <w:rFonts w:hint="eastAsia"/>
          <w:lang w:val="en-US" w:eastAsia="zh-CN"/>
        </w:rPr>
        <w:t>安装工期及调试</w:t>
      </w:r>
      <w:r>
        <w:rPr>
          <w:rFonts w:hint="eastAsia" w:ascii="宋体" w:hAnsi="宋体" w:cs="宋体"/>
          <w:b w:val="0"/>
          <w:bCs w:val="0"/>
          <w:szCs w:val="21"/>
          <w:highlight w:val="none"/>
          <w:shd w:val="clear" w:color="auto" w:fill="auto"/>
          <w:lang w:val="en-US" w:eastAsia="zh-CN"/>
        </w:rPr>
        <w:t>为</w:t>
      </w:r>
      <w:r>
        <w:rPr>
          <w:rFonts w:hint="eastAsia" w:ascii="宋体" w:hAnsi="宋体" w:cs="宋体"/>
          <w:b w:val="0"/>
          <w:bCs w:val="0"/>
          <w:szCs w:val="21"/>
          <w:highlight w:val="none"/>
          <w:u w:val="single"/>
          <w:shd w:val="clear" w:color="auto" w:fill="auto"/>
          <w:lang w:val="en-US" w:eastAsia="zh-CN"/>
        </w:rPr>
        <w:t>30</w:t>
      </w:r>
      <w:r>
        <w:rPr>
          <w:rFonts w:hint="eastAsia" w:ascii="宋体" w:hAnsi="宋体" w:cs="宋体"/>
          <w:b w:val="0"/>
          <w:bCs w:val="0"/>
          <w:szCs w:val="21"/>
          <w:highlight w:val="none"/>
          <w:u w:val="none"/>
          <w:shd w:val="clear" w:color="auto" w:fill="auto"/>
          <w:lang w:val="en-US" w:eastAsia="zh-CN"/>
        </w:rPr>
        <w:t>个日历天，</w:t>
      </w:r>
      <w:r>
        <w:rPr>
          <w:rFonts w:hint="eastAsia" w:ascii="宋体" w:hAnsi="宋体" w:cs="宋体"/>
          <w:b w:val="0"/>
          <w:bCs w:val="0"/>
          <w:szCs w:val="21"/>
          <w:highlight w:val="none"/>
          <w:shd w:val="clear" w:color="auto" w:fill="auto"/>
          <w:lang w:eastAsia="zh-CN"/>
        </w:rPr>
        <w:t>计划</w:t>
      </w:r>
      <w:r>
        <w:rPr>
          <w:rFonts w:hint="eastAsia" w:ascii="宋体" w:hAnsi="宋体" w:cs="宋体"/>
          <w:b w:val="0"/>
          <w:bCs w:val="0"/>
          <w:sz w:val="21"/>
          <w:szCs w:val="21"/>
          <w:highlight w:val="none"/>
          <w:lang w:eastAsia="zh-CN"/>
        </w:rPr>
        <w:t>开工</w:t>
      </w:r>
      <w:r>
        <w:rPr>
          <w:rFonts w:hint="eastAsia" w:ascii="宋体" w:hAnsi="宋体" w:cs="宋体"/>
          <w:b w:val="0"/>
          <w:bCs w:val="0"/>
          <w:sz w:val="21"/>
          <w:szCs w:val="21"/>
          <w:highlight w:val="none"/>
          <w:lang w:val="en-US" w:eastAsia="zh-CN"/>
        </w:rPr>
        <w:t>进场安装</w:t>
      </w:r>
      <w:r>
        <w:rPr>
          <w:rFonts w:hint="eastAsia" w:ascii="宋体" w:hAnsi="宋体" w:cs="宋体"/>
          <w:b w:val="0"/>
          <w:bCs w:val="0"/>
          <w:sz w:val="21"/>
          <w:szCs w:val="21"/>
          <w:highlight w:val="none"/>
          <w:lang w:eastAsia="zh-CN"/>
        </w:rPr>
        <w:t>日期</w:t>
      </w:r>
      <w:r>
        <w:rPr>
          <w:rFonts w:hint="eastAsia" w:ascii="宋体" w:hAnsi="宋体" w:eastAsia="宋体" w:cs="宋体"/>
          <w:b w:val="0"/>
          <w:bCs w:val="0"/>
          <w:sz w:val="21"/>
          <w:szCs w:val="21"/>
          <w:highlight w:val="none"/>
          <w:lang w:eastAsia="zh-CN"/>
        </w:rPr>
        <w:t>为</w:t>
      </w:r>
      <w:r>
        <w:rPr>
          <w:rFonts w:hint="eastAsia" w:ascii="宋体" w:hAnsi="宋体" w:cs="宋体"/>
          <w:b w:val="0"/>
          <w:bCs w:val="0"/>
          <w:sz w:val="21"/>
          <w:szCs w:val="21"/>
          <w:highlight w:val="none"/>
          <w:lang w:val="en-US" w:eastAsia="zh-CN"/>
        </w:rPr>
        <w:t>20</w:t>
      </w:r>
      <w:r>
        <w:rPr>
          <w:rFonts w:hint="eastAsia" w:ascii="宋体" w:hAnsi="宋体" w:cs="宋体"/>
          <w:b w:val="0"/>
          <w:bCs w:val="0"/>
          <w:sz w:val="21"/>
          <w:szCs w:val="21"/>
          <w:highlight w:val="none"/>
          <w:u w:val="single"/>
          <w:lang w:val="en-US" w:eastAsia="zh-CN"/>
        </w:rPr>
        <w:t>22</w:t>
      </w:r>
      <w:r>
        <w:rPr>
          <w:rFonts w:hint="eastAsia" w:ascii="宋体" w:hAnsi="宋体" w:eastAsia="宋体" w:cs="宋体"/>
          <w:b w:val="0"/>
          <w:bCs w:val="0"/>
          <w:sz w:val="21"/>
          <w:szCs w:val="21"/>
          <w:highlight w:val="none"/>
          <w:lang w:val="en-US" w:eastAsia="zh-CN"/>
        </w:rPr>
        <w:t>年</w:t>
      </w:r>
      <w:r>
        <w:rPr>
          <w:rFonts w:hint="eastAsia" w:ascii="宋体" w:hAnsi="宋体" w:cs="宋体"/>
          <w:b w:val="0"/>
          <w:bCs w:val="0"/>
          <w:sz w:val="21"/>
          <w:szCs w:val="21"/>
          <w:highlight w:val="none"/>
          <w:u w:val="single"/>
          <w:lang w:val="en-US" w:eastAsia="zh-CN"/>
        </w:rPr>
        <w:t>7</w:t>
      </w:r>
      <w:r>
        <w:rPr>
          <w:rFonts w:hint="eastAsia" w:ascii="宋体" w:hAnsi="宋体" w:eastAsia="宋体" w:cs="宋体"/>
          <w:b w:val="0"/>
          <w:bCs w:val="0"/>
          <w:sz w:val="21"/>
          <w:szCs w:val="21"/>
          <w:highlight w:val="none"/>
          <w:lang w:val="en-US" w:eastAsia="zh-CN"/>
        </w:rPr>
        <w:t>月</w:t>
      </w:r>
      <w:r>
        <w:rPr>
          <w:rFonts w:hint="eastAsia" w:ascii="宋体" w:hAnsi="宋体" w:cs="宋体"/>
          <w:b w:val="0"/>
          <w:bCs w:val="0"/>
          <w:sz w:val="21"/>
          <w:szCs w:val="21"/>
          <w:highlight w:val="none"/>
          <w:u w:val="single"/>
          <w:lang w:val="en-US" w:eastAsia="zh-CN"/>
        </w:rPr>
        <w:t>25</w:t>
      </w:r>
      <w:r>
        <w:rPr>
          <w:rFonts w:hint="eastAsia" w:ascii="宋体" w:hAnsi="宋体" w:eastAsia="宋体" w:cs="宋体"/>
          <w:b w:val="0"/>
          <w:bCs w:val="0"/>
          <w:sz w:val="21"/>
          <w:szCs w:val="21"/>
          <w:highlight w:val="none"/>
          <w:lang w:val="en-US" w:eastAsia="zh-CN"/>
        </w:rPr>
        <w:t>日</w:t>
      </w:r>
      <w:r>
        <w:rPr>
          <w:rFonts w:hint="eastAsia" w:asciiTheme="minorEastAsia" w:hAnsiTheme="minorEastAsia" w:eastAsiaTheme="minorEastAsia" w:cstheme="minorEastAsia"/>
          <w:sz w:val="21"/>
          <w:szCs w:val="21"/>
          <w:highlight w:val="none"/>
          <w:shd w:val="clear" w:color="auto" w:fill="auto"/>
          <w:lang w:val="en-US" w:eastAsia="zh-CN"/>
        </w:rPr>
        <w:t>，计划安装完成日期为20</w:t>
      </w:r>
      <w:r>
        <w:rPr>
          <w:rFonts w:hint="eastAsia" w:asciiTheme="minorEastAsia" w:hAnsiTheme="minorEastAsia" w:eastAsiaTheme="minorEastAsia" w:cstheme="minorEastAsia"/>
          <w:sz w:val="21"/>
          <w:szCs w:val="21"/>
          <w:highlight w:val="none"/>
          <w:u w:val="single"/>
          <w:shd w:val="clear" w:color="auto" w:fill="auto"/>
          <w:lang w:val="en-US" w:eastAsia="zh-CN"/>
        </w:rPr>
        <w:t>22</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宋体" w:hAnsi="宋体" w:cs="宋体"/>
          <w:b w:val="0"/>
          <w:bCs w:val="0"/>
          <w:sz w:val="21"/>
          <w:szCs w:val="21"/>
          <w:highlight w:val="none"/>
          <w:u w:val="single"/>
          <w:lang w:val="en-US" w:eastAsia="zh-CN"/>
        </w:rPr>
        <w:t>8</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宋体" w:hAnsi="宋体" w:cs="宋体"/>
          <w:b w:val="0"/>
          <w:bCs w:val="0"/>
          <w:sz w:val="21"/>
          <w:szCs w:val="21"/>
          <w:highlight w:val="none"/>
          <w:u w:val="single"/>
          <w:lang w:val="en-US" w:eastAsia="zh-CN"/>
        </w:rPr>
        <w:t>25</w:t>
      </w:r>
      <w:r>
        <w:rPr>
          <w:rFonts w:hint="eastAsia" w:asciiTheme="minorEastAsia" w:hAnsiTheme="minorEastAsia" w:eastAsiaTheme="minorEastAsia" w:cstheme="minorEastAsia"/>
          <w:sz w:val="21"/>
          <w:szCs w:val="21"/>
          <w:highlight w:val="none"/>
          <w:shd w:val="clear" w:color="auto" w:fill="auto"/>
          <w:lang w:val="en-US" w:eastAsia="zh-CN"/>
        </w:rPr>
        <w:t>日前，如有变更，</w:t>
      </w:r>
      <w:r>
        <w:rPr>
          <w:rFonts w:hint="eastAsia" w:ascii="宋体" w:hAnsi="宋体" w:cs="宋体"/>
          <w:sz w:val="21"/>
          <w:szCs w:val="21"/>
          <w:highlight w:val="none"/>
          <w:lang w:val="en-US" w:eastAsia="zh-CN"/>
        </w:rPr>
        <w:t>以甲方书面通知为准。</w:t>
      </w:r>
      <w:r>
        <w:rPr>
          <w:rFonts w:hint="eastAsia" w:ascii="宋体" w:hAnsi="宋体"/>
          <w:b w:val="0"/>
          <w:bCs w:val="0"/>
          <w:szCs w:val="21"/>
          <w:highlight w:val="none"/>
          <w:lang w:eastAsia="zh-CN"/>
        </w:rPr>
        <w:t>本工程</w:t>
      </w:r>
      <w:r>
        <w:rPr>
          <w:rFonts w:hint="eastAsia" w:ascii="宋体" w:hAnsi="宋体" w:cs="宋体"/>
          <w:color w:val="000000" w:themeColor="text1"/>
          <w:szCs w:val="21"/>
          <w:highlight w:val="none"/>
          <w:lang w:eastAsia="zh-CN"/>
          <w14:textFill>
            <w14:solidFill>
              <w14:schemeClr w14:val="tx1"/>
            </w14:solidFill>
          </w14:textFill>
        </w:rPr>
        <w:t>为赶工期工程</w:t>
      </w:r>
      <w:r>
        <w:rPr>
          <w:rFonts w:hint="eastAsia" w:ascii="宋体" w:hAnsi="宋体"/>
          <w:b w:val="0"/>
          <w:bCs w:val="0"/>
          <w:szCs w:val="21"/>
          <w:highlight w:val="none"/>
          <w:lang w:eastAsia="zh-CN"/>
        </w:rPr>
        <w:t>，必须满足</w:t>
      </w:r>
      <w:r>
        <w:rPr>
          <w:rFonts w:hint="eastAsia" w:ascii="宋体" w:hAnsi="宋体"/>
          <w:b w:val="0"/>
          <w:bCs w:val="0"/>
          <w:szCs w:val="21"/>
          <w:highlight w:val="none"/>
          <w:lang w:val="en-US" w:eastAsia="zh-CN"/>
        </w:rPr>
        <w:t>甲方</w:t>
      </w:r>
      <w:r>
        <w:rPr>
          <w:rFonts w:hint="eastAsia" w:ascii="宋体" w:hAnsi="宋体"/>
          <w:b w:val="0"/>
          <w:bCs w:val="0"/>
          <w:szCs w:val="21"/>
          <w:highlight w:val="none"/>
          <w:lang w:eastAsia="zh-CN"/>
        </w:rPr>
        <w:t>工期要求。</w:t>
      </w:r>
      <w:r>
        <w:rPr>
          <w:rFonts w:hint="eastAsia" w:ascii="宋体" w:hAnsi="宋体"/>
          <w:color w:val="000000"/>
          <w:szCs w:val="24"/>
          <w:highlight w:val="none"/>
          <w:lang w:eastAsia="zh-CN"/>
        </w:rPr>
        <w:t>甲方发出</w:t>
      </w:r>
      <w:r>
        <w:rPr>
          <w:rFonts w:hint="eastAsia" w:ascii="宋体" w:hAnsi="宋体"/>
          <w:color w:val="000000"/>
          <w:szCs w:val="24"/>
          <w:highlight w:val="none"/>
          <w:lang w:val="en-US" w:eastAsia="zh-CN"/>
        </w:rPr>
        <w:t>书面</w:t>
      </w:r>
      <w:r>
        <w:rPr>
          <w:rFonts w:hint="eastAsia" w:ascii="宋体" w:hAnsi="宋体"/>
          <w:color w:val="000000"/>
          <w:szCs w:val="24"/>
          <w:highlight w:val="none"/>
          <w:lang w:eastAsia="zh-CN"/>
        </w:rPr>
        <w:t>通知后，</w:t>
      </w:r>
      <w:r>
        <w:rPr>
          <w:rFonts w:hint="eastAsia" w:ascii="宋体" w:hAnsi="宋体"/>
          <w:color w:val="000000"/>
          <w:szCs w:val="24"/>
          <w:highlight w:val="none"/>
          <w:lang w:val="en-US" w:eastAsia="zh-CN"/>
        </w:rPr>
        <w:t>乙方</w:t>
      </w:r>
      <w:r>
        <w:rPr>
          <w:rFonts w:hint="eastAsia" w:ascii="宋体" w:hAnsi="宋体"/>
          <w:b/>
          <w:bCs/>
          <w:color w:val="000000"/>
          <w:szCs w:val="24"/>
          <w:highlight w:val="none"/>
          <w:u w:val="single"/>
          <w:lang w:val="en-US" w:eastAsia="zh-CN"/>
        </w:rPr>
        <w:t>3</w:t>
      </w:r>
      <w:r>
        <w:rPr>
          <w:rFonts w:hint="eastAsia" w:ascii="宋体" w:hAnsi="宋体"/>
          <w:color w:val="000000"/>
          <w:szCs w:val="24"/>
          <w:highlight w:val="none"/>
          <w:lang w:eastAsia="zh-CN"/>
        </w:rPr>
        <w:t>天内</w:t>
      </w:r>
      <w:r>
        <w:rPr>
          <w:rFonts w:hint="eastAsia" w:ascii="宋体" w:hAnsi="宋体"/>
          <w:color w:val="000000"/>
          <w:szCs w:val="24"/>
          <w:highlight w:val="none"/>
          <w:lang w:val="en-US" w:eastAsia="zh-CN"/>
        </w:rPr>
        <w:t>提交本工程深化设计图纸、</w:t>
      </w:r>
      <w:r>
        <w:rPr>
          <w:rFonts w:hint="eastAsia" w:ascii="宋体" w:hAnsi="宋体"/>
          <w:color w:val="000000"/>
          <w:szCs w:val="24"/>
          <w:highlight w:val="none"/>
          <w:lang w:eastAsia="zh-CN"/>
        </w:rPr>
        <w:t>入户门专项安装计划及安全文明施工方案并签字盖章交</w:t>
      </w:r>
      <w:r>
        <w:rPr>
          <w:rFonts w:hint="eastAsia" w:ascii="宋体" w:hAnsi="宋体"/>
          <w:color w:val="000000"/>
          <w:szCs w:val="24"/>
          <w:highlight w:val="none"/>
          <w:lang w:val="en-US" w:eastAsia="zh-CN"/>
        </w:rPr>
        <w:t>甲方项目部审核，并按甲方审核意见执行</w:t>
      </w:r>
      <w:r>
        <w:rPr>
          <w:rFonts w:hint="eastAsia" w:ascii="宋体" w:hAnsi="宋体"/>
          <w:color w:val="000000"/>
          <w:szCs w:val="24"/>
          <w:highlight w:val="none"/>
          <w:lang w:eastAsia="zh-CN"/>
        </w:rPr>
        <w:t>。</w:t>
      </w:r>
    </w:p>
    <w:p>
      <w:pPr>
        <w:keepNext w:val="0"/>
        <w:keepLines w:val="0"/>
        <w:pageBreakBefore w:val="0"/>
        <w:widowControl w:val="0"/>
        <w:tabs>
          <w:tab w:val="left" w:pos="840"/>
        </w:tabs>
        <w:kinsoku/>
        <w:wordWrap/>
        <w:overflowPunct/>
        <w:topLinePunct w:val="0"/>
        <w:autoSpaceDE/>
        <w:autoSpaceDN/>
        <w:bidi w:val="0"/>
        <w:adjustRightInd/>
        <w:snapToGrid/>
        <w:spacing w:line="310" w:lineRule="exact"/>
        <w:ind w:left="0" w:leftChars="0" w:right="0" w:rightChars="0" w:firstLine="420"/>
        <w:jc w:val="both"/>
        <w:textAlignment w:val="auto"/>
        <w:outlineLvl w:val="9"/>
        <w:rPr>
          <w:rFonts w:hint="eastAsia" w:ascii="宋体" w:hAnsi="宋体"/>
          <w:color w:val="000000"/>
          <w:szCs w:val="24"/>
          <w:highlight w:val="none"/>
        </w:rPr>
      </w:pPr>
      <w:r>
        <w:rPr>
          <w:rFonts w:hint="eastAsia" w:cs="Times New Roman"/>
          <w:highlight w:val="none"/>
          <w:lang w:val="en-US" w:eastAsia="zh-CN"/>
        </w:rPr>
        <w:t>2.2因</w:t>
      </w:r>
      <w:r>
        <w:rPr>
          <w:rFonts w:hint="eastAsia" w:ascii="宋体" w:hAnsi="宋体"/>
          <w:color w:val="000000"/>
          <w:szCs w:val="24"/>
          <w:highlight w:val="none"/>
        </w:rPr>
        <w:t>甲方原因未能提供安装条件，水平线、垂直线、进出线，或未提供施工用水、用电、不可抗力影响，乙方应及时办理工期顺延手续</w:t>
      </w:r>
      <w:r>
        <w:rPr>
          <w:rFonts w:hint="eastAsia" w:ascii="宋体" w:hAnsi="宋体"/>
          <w:color w:val="000000"/>
          <w:szCs w:val="24"/>
          <w:highlight w:val="none"/>
          <w:lang w:eastAsia="zh-CN"/>
        </w:rPr>
        <w:t>并出具甲方签认的工期顺延依据，工期方可顺延</w:t>
      </w:r>
      <w:r>
        <w:rPr>
          <w:rFonts w:hint="eastAsia" w:ascii="宋体" w:hAnsi="宋体"/>
          <w:color w:val="000000"/>
          <w:szCs w:val="24"/>
          <w:highlight w:val="none"/>
        </w:rPr>
        <w:t>。</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0" w:firstLineChars="0"/>
        <w:jc w:val="both"/>
        <w:textAlignment w:val="auto"/>
        <w:outlineLvl w:val="9"/>
        <w:rPr>
          <w:rFonts w:hint="eastAsia" w:ascii="宋体" w:hAnsi="宋体"/>
          <w:color w:val="000000"/>
          <w:szCs w:val="24"/>
          <w:highlight w:val="none"/>
        </w:rPr>
      </w:pPr>
      <w:r>
        <w:rPr>
          <w:rFonts w:hint="eastAsia" w:ascii="宋体" w:hAnsi="宋体"/>
          <w:b/>
          <w:bCs/>
          <w:color w:val="000000"/>
          <w:szCs w:val="24"/>
          <w:highlight w:val="none"/>
        </w:rPr>
        <w:t>三、承包方式：</w:t>
      </w:r>
      <w:r>
        <w:rPr>
          <w:rFonts w:hint="eastAsia" w:ascii="宋体" w:hAnsi="宋体" w:cs="宋体"/>
          <w:b w:val="0"/>
          <w:bCs w:val="0"/>
          <w:sz w:val="21"/>
          <w:szCs w:val="21"/>
          <w:highlight w:val="none"/>
          <w:lang w:val="en-US" w:eastAsia="zh-CN"/>
        </w:rPr>
        <w:t>乙方对本工程</w:t>
      </w:r>
      <w:r>
        <w:rPr>
          <w:rFonts w:hint="eastAsia" w:ascii="宋体" w:hAnsi="宋体"/>
          <w:szCs w:val="21"/>
          <w:highlight w:val="none"/>
        </w:rPr>
        <w:t>包工、包料、包机械设备、包各类辅材及配件、包深化设计（须取得建设单位和原设计院审核通过签认或</w:t>
      </w:r>
      <w:r>
        <w:rPr>
          <w:rFonts w:hint="eastAsia" w:ascii="宋体" w:hAnsi="宋体"/>
          <w:szCs w:val="21"/>
          <w:highlight w:val="none"/>
          <w:lang w:eastAsia="zh-CN"/>
        </w:rPr>
        <w:t>当地</w:t>
      </w:r>
      <w:r>
        <w:rPr>
          <w:rFonts w:hint="eastAsia" w:ascii="宋体" w:hAnsi="宋体"/>
          <w:szCs w:val="21"/>
          <w:highlight w:val="none"/>
        </w:rPr>
        <w:t>建设行政主管部门</w:t>
      </w:r>
      <w:r>
        <w:rPr>
          <w:rFonts w:hint="eastAsia" w:ascii="宋体" w:hAnsi="宋体"/>
          <w:szCs w:val="21"/>
          <w:highlight w:val="none"/>
          <w:lang w:eastAsia="zh-CN"/>
        </w:rPr>
        <w:t>或消防主管部门</w:t>
      </w:r>
      <w:r>
        <w:rPr>
          <w:rFonts w:hint="eastAsia" w:ascii="宋体" w:hAnsi="宋体"/>
          <w:szCs w:val="21"/>
          <w:highlight w:val="none"/>
        </w:rPr>
        <w:t>认可的</w:t>
      </w:r>
      <w:r>
        <w:rPr>
          <w:rFonts w:hint="eastAsia" w:ascii="宋体" w:hAnsi="宋体"/>
          <w:szCs w:val="21"/>
          <w:highlight w:val="none"/>
          <w:lang w:eastAsia="zh-CN"/>
        </w:rPr>
        <w:t>相关</w:t>
      </w:r>
      <w:r>
        <w:rPr>
          <w:rFonts w:hint="eastAsia" w:ascii="宋体" w:hAnsi="宋体"/>
          <w:szCs w:val="21"/>
          <w:highlight w:val="none"/>
        </w:rPr>
        <w:t>资质的单位出具的施工图为准）、包产品检验检测、包安全文明施工、包成品保护、包场地清理、包工期、</w:t>
      </w:r>
      <w:r>
        <w:rPr>
          <w:rFonts w:hint="eastAsia" w:ascii="宋体" w:hAnsi="宋体"/>
          <w:szCs w:val="21"/>
          <w:highlight w:val="none"/>
          <w:lang w:eastAsia="zh-CN"/>
        </w:rPr>
        <w:t>包各种情形所要求的赶工措施及产生的费用、</w:t>
      </w:r>
      <w:r>
        <w:rPr>
          <w:rFonts w:hint="eastAsia" w:ascii="宋体" w:hAnsi="宋体"/>
          <w:szCs w:val="21"/>
          <w:highlight w:val="none"/>
        </w:rPr>
        <w:t>包质量、</w:t>
      </w:r>
      <w:r>
        <w:rPr>
          <w:rFonts w:hint="eastAsia"/>
          <w:lang w:val="en-US" w:eastAsia="zh-CN"/>
        </w:rPr>
        <w:t>包结算所有资料、</w:t>
      </w:r>
      <w:r>
        <w:rPr>
          <w:rFonts w:hint="eastAsia" w:ascii="宋体" w:hAnsi="宋体"/>
          <w:szCs w:val="21"/>
          <w:highlight w:val="none"/>
          <w:lang w:eastAsia="zh-CN"/>
        </w:rPr>
        <w:t>包供货证明等全部资料、</w:t>
      </w:r>
      <w:r>
        <w:rPr>
          <w:rFonts w:hint="eastAsia" w:ascii="宋体" w:hAnsi="宋体"/>
          <w:szCs w:val="21"/>
          <w:highlight w:val="none"/>
        </w:rPr>
        <w:t>包保险、包风险、</w:t>
      </w:r>
      <w:r>
        <w:rPr>
          <w:rFonts w:hint="eastAsia" w:ascii="宋体" w:hAnsi="宋体"/>
          <w:szCs w:val="21"/>
          <w:highlight w:val="none"/>
          <w:lang w:eastAsia="zh-CN"/>
        </w:rPr>
        <w:t>包验收合格、</w:t>
      </w:r>
      <w:r>
        <w:rPr>
          <w:rFonts w:hint="eastAsia" w:ascii="宋体" w:hAnsi="宋体"/>
          <w:szCs w:val="21"/>
          <w:highlight w:val="none"/>
        </w:rPr>
        <w:t>包保修等工程涉及的全部内容及费用。</w:t>
      </w:r>
    </w:p>
    <w:p>
      <w:pPr>
        <w:keepNext w:val="0"/>
        <w:keepLines w:val="0"/>
        <w:pageBreakBefore w:val="0"/>
        <w:widowControl w:val="0"/>
        <w:tabs>
          <w:tab w:val="left" w:pos="840"/>
        </w:tabs>
        <w:kinsoku/>
        <w:wordWrap/>
        <w:overflowPunct/>
        <w:topLinePunct w:val="0"/>
        <w:autoSpaceDE/>
        <w:autoSpaceDN/>
        <w:bidi w:val="0"/>
        <w:adjustRightInd/>
        <w:spacing w:line="310" w:lineRule="exact"/>
        <w:ind w:right="0" w:rightChars="0"/>
        <w:textAlignment w:val="auto"/>
        <w:outlineLvl w:val="9"/>
        <w:rPr>
          <w:rFonts w:hint="eastAsia" w:ascii="宋体" w:hAnsi="宋体" w:eastAsia="宋体"/>
          <w:color w:val="000000"/>
          <w:szCs w:val="24"/>
          <w:highlight w:val="none"/>
          <w:lang w:val="en-US" w:eastAsia="zh-CN"/>
        </w:rPr>
      </w:pPr>
      <w:r>
        <w:rPr>
          <w:rFonts w:hint="eastAsia" w:ascii="宋体" w:hAnsi="宋体"/>
          <w:b/>
          <w:bCs/>
          <w:color w:val="000000"/>
          <w:szCs w:val="24"/>
          <w:highlight w:val="none"/>
          <w:lang w:eastAsia="zh-CN"/>
        </w:rPr>
        <w:t>四、</w:t>
      </w:r>
      <w:r>
        <w:rPr>
          <w:rFonts w:hint="eastAsia" w:ascii="宋体" w:hAnsi="宋体" w:cs="宋体"/>
          <w:b/>
          <w:bCs/>
          <w:szCs w:val="21"/>
          <w:highlight w:val="none"/>
          <w:lang w:val="en-US" w:eastAsia="zh-CN"/>
        </w:rPr>
        <w:t>合同</w:t>
      </w:r>
      <w:r>
        <w:rPr>
          <w:rFonts w:hint="eastAsia" w:ascii="宋体" w:hAnsi="宋体" w:cs="宋体"/>
          <w:b/>
          <w:bCs/>
          <w:szCs w:val="21"/>
          <w:highlight w:val="none"/>
        </w:rPr>
        <w:t>价</w:t>
      </w:r>
      <w:r>
        <w:rPr>
          <w:rFonts w:hint="eastAsia" w:ascii="宋体" w:hAnsi="宋体" w:cs="宋体"/>
          <w:b/>
          <w:bCs/>
          <w:szCs w:val="21"/>
          <w:highlight w:val="none"/>
          <w:lang w:val="en-US" w:eastAsia="zh-CN"/>
        </w:rPr>
        <w:t>款及计量计价</w:t>
      </w:r>
    </w:p>
    <w:tbl>
      <w:tblPr>
        <w:tblStyle w:val="7"/>
        <w:tblW w:w="98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3105"/>
        <w:gridCol w:w="1192"/>
        <w:gridCol w:w="695"/>
        <w:gridCol w:w="1698"/>
        <w:gridCol w:w="1260"/>
        <w:gridCol w:w="12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697"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b/>
                <w:bCs/>
                <w:color w:val="000000"/>
                <w:szCs w:val="24"/>
                <w:highlight w:val="none"/>
              </w:rPr>
            </w:pPr>
            <w:r>
              <w:rPr>
                <w:rFonts w:hint="eastAsia" w:ascii="宋体" w:hAnsi="宋体"/>
                <w:b/>
                <w:bCs/>
                <w:color w:val="000000"/>
                <w:szCs w:val="24"/>
                <w:highlight w:val="none"/>
              </w:rPr>
              <w:t>序号</w:t>
            </w:r>
          </w:p>
        </w:tc>
        <w:tc>
          <w:tcPr>
            <w:tcW w:w="3105" w:type="dxa"/>
            <w:tcBorders>
              <w:right w:val="single" w:color="auto" w:sz="4" w:space="0"/>
            </w:tcBorders>
            <w:vAlign w:val="center"/>
          </w:tcPr>
          <w:p>
            <w:pPr>
              <w:keepNext w:val="0"/>
              <w:keepLines w:val="0"/>
              <w:pageBreakBefore w:val="0"/>
              <w:widowControl w:val="0"/>
              <w:tabs>
                <w:tab w:val="left" w:pos="840"/>
              </w:tabs>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b/>
                <w:bCs/>
                <w:color w:val="000000"/>
                <w:szCs w:val="24"/>
                <w:highlight w:val="none"/>
                <w:lang w:eastAsia="zh-CN"/>
              </w:rPr>
            </w:pPr>
            <w:r>
              <w:rPr>
                <w:rFonts w:hint="eastAsia" w:ascii="宋体" w:hAnsi="宋体"/>
                <w:b/>
                <w:bCs/>
                <w:color w:val="000000"/>
                <w:szCs w:val="24"/>
                <w:highlight w:val="none"/>
                <w:lang w:eastAsia="zh-CN"/>
              </w:rPr>
              <w:t>分项工程</w:t>
            </w:r>
            <w:r>
              <w:rPr>
                <w:rFonts w:hint="eastAsia" w:ascii="宋体" w:hAnsi="宋体"/>
                <w:b/>
                <w:bCs/>
                <w:color w:val="000000"/>
                <w:szCs w:val="24"/>
                <w:highlight w:val="none"/>
              </w:rPr>
              <w:t>名称</w:t>
            </w:r>
          </w:p>
        </w:tc>
        <w:tc>
          <w:tcPr>
            <w:tcW w:w="1192" w:type="dxa"/>
            <w:tcBorders>
              <w:right w:val="single" w:color="auto" w:sz="4" w:space="0"/>
            </w:tcBorders>
            <w:vAlign w:val="center"/>
          </w:tcPr>
          <w:p>
            <w:pPr>
              <w:keepNext w:val="0"/>
              <w:keepLines w:val="0"/>
              <w:pageBreakBefore w:val="0"/>
              <w:widowControl w:val="0"/>
              <w:tabs>
                <w:tab w:val="left" w:pos="840"/>
              </w:tabs>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b/>
                <w:bCs/>
                <w:color w:val="000000"/>
                <w:szCs w:val="24"/>
                <w:highlight w:val="none"/>
                <w:lang w:eastAsia="zh-CN"/>
              </w:rPr>
            </w:pPr>
            <w:r>
              <w:rPr>
                <w:rFonts w:hint="eastAsia" w:ascii="宋体" w:hAnsi="宋体"/>
                <w:b/>
                <w:bCs/>
                <w:color w:val="000000"/>
                <w:szCs w:val="24"/>
                <w:highlight w:val="none"/>
                <w:lang w:val="en-US" w:eastAsia="zh-CN"/>
              </w:rPr>
              <w:t>暂定</w:t>
            </w:r>
            <w:r>
              <w:rPr>
                <w:rFonts w:hint="eastAsia" w:ascii="宋体" w:hAnsi="宋体"/>
                <w:b/>
                <w:bCs/>
                <w:color w:val="000000"/>
                <w:szCs w:val="24"/>
                <w:highlight w:val="none"/>
                <w:lang w:eastAsia="zh-CN"/>
              </w:rPr>
              <w:t>数量</w:t>
            </w:r>
          </w:p>
        </w:tc>
        <w:tc>
          <w:tcPr>
            <w:tcW w:w="695" w:type="dxa"/>
            <w:tcBorders>
              <w:right w:val="single" w:color="auto" w:sz="4" w:space="0"/>
            </w:tcBorders>
            <w:vAlign w:val="center"/>
          </w:tcPr>
          <w:p>
            <w:pPr>
              <w:keepNext w:val="0"/>
              <w:keepLines w:val="0"/>
              <w:pageBreakBefore w:val="0"/>
              <w:widowControl w:val="0"/>
              <w:tabs>
                <w:tab w:val="left" w:pos="840"/>
              </w:tabs>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b/>
                <w:bCs/>
                <w:color w:val="000000"/>
                <w:szCs w:val="24"/>
                <w:highlight w:val="none"/>
                <w:lang w:eastAsia="zh-CN"/>
              </w:rPr>
            </w:pPr>
            <w:r>
              <w:rPr>
                <w:rFonts w:hint="eastAsia" w:ascii="宋体" w:hAnsi="宋体"/>
                <w:b/>
                <w:bCs/>
                <w:color w:val="000000"/>
                <w:szCs w:val="24"/>
                <w:highlight w:val="none"/>
                <w:lang w:eastAsia="zh-CN"/>
              </w:rPr>
              <w:t>单位</w:t>
            </w:r>
          </w:p>
        </w:tc>
        <w:tc>
          <w:tcPr>
            <w:tcW w:w="1698"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b/>
                <w:bCs/>
                <w:color w:val="000000"/>
                <w:szCs w:val="24"/>
                <w:highlight w:val="none"/>
              </w:rPr>
            </w:pPr>
            <w:r>
              <w:rPr>
                <w:rFonts w:hint="eastAsia" w:ascii="宋体" w:hAnsi="宋体"/>
                <w:b/>
                <w:bCs/>
                <w:color w:val="000000"/>
                <w:szCs w:val="24"/>
                <w:highlight w:val="none"/>
                <w:lang w:val="en-US" w:eastAsia="zh-CN"/>
              </w:rPr>
              <w:t>合同</w:t>
            </w:r>
            <w:r>
              <w:rPr>
                <w:rFonts w:hint="eastAsia" w:ascii="宋体" w:hAnsi="宋体"/>
                <w:b/>
                <w:bCs/>
                <w:color w:val="000000"/>
                <w:szCs w:val="24"/>
                <w:highlight w:val="none"/>
              </w:rPr>
              <w:t>单价</w:t>
            </w:r>
          </w:p>
          <w:p>
            <w:pPr>
              <w:keepNext w:val="0"/>
              <w:keepLines w:val="0"/>
              <w:pageBreakBefore w:val="0"/>
              <w:widowControl w:val="0"/>
              <w:tabs>
                <w:tab w:val="left" w:pos="840"/>
              </w:tabs>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b/>
                <w:bCs/>
                <w:color w:val="000000"/>
                <w:szCs w:val="24"/>
                <w:highlight w:val="none"/>
              </w:rPr>
            </w:pPr>
            <w:r>
              <w:rPr>
                <w:rFonts w:hint="eastAsia" w:ascii="宋体" w:hAnsi="宋体"/>
                <w:b/>
                <w:bCs/>
                <w:color w:val="000000"/>
                <w:szCs w:val="24"/>
                <w:highlight w:val="none"/>
              </w:rPr>
              <w:t>（元</w:t>
            </w:r>
            <w:r>
              <w:rPr>
                <w:rFonts w:hint="eastAsia" w:ascii="宋体" w:hAnsi="宋体"/>
                <w:b/>
                <w:bCs/>
                <w:color w:val="000000"/>
                <w:szCs w:val="24"/>
                <w:highlight w:val="none"/>
                <w:lang w:val="en-US" w:eastAsia="zh-CN"/>
              </w:rPr>
              <w:t>/樘</w:t>
            </w:r>
            <w:r>
              <w:rPr>
                <w:rFonts w:hint="eastAsia" w:ascii="宋体" w:hAnsi="宋体"/>
                <w:b/>
                <w:bCs/>
                <w:color w:val="000000"/>
                <w:szCs w:val="24"/>
                <w:highlight w:val="none"/>
              </w:rPr>
              <w:t>）</w:t>
            </w:r>
          </w:p>
        </w:tc>
        <w:tc>
          <w:tcPr>
            <w:tcW w:w="1260"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b/>
                <w:bCs/>
                <w:color w:val="000000"/>
                <w:szCs w:val="24"/>
                <w:highlight w:val="none"/>
              </w:rPr>
            </w:pPr>
            <w:r>
              <w:rPr>
                <w:rFonts w:hint="eastAsia" w:ascii="宋体" w:hAnsi="宋体"/>
                <w:b/>
                <w:bCs/>
                <w:color w:val="000000"/>
                <w:szCs w:val="24"/>
                <w:highlight w:val="none"/>
                <w:lang w:val="en-US" w:eastAsia="zh-CN"/>
              </w:rPr>
              <w:t>暂定合价</w:t>
            </w:r>
            <w:r>
              <w:rPr>
                <w:rFonts w:hint="eastAsia" w:ascii="宋体" w:hAnsi="宋体"/>
                <w:b/>
                <w:bCs/>
                <w:color w:val="000000"/>
                <w:szCs w:val="24"/>
                <w:highlight w:val="none"/>
              </w:rPr>
              <w:t>（元）</w:t>
            </w:r>
          </w:p>
        </w:tc>
        <w:tc>
          <w:tcPr>
            <w:tcW w:w="1236"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b/>
                <w:bCs/>
                <w:color w:val="000000"/>
                <w:szCs w:val="24"/>
                <w:highlight w:val="none"/>
              </w:rPr>
            </w:pPr>
            <w:r>
              <w:rPr>
                <w:rFonts w:hint="eastAsia" w:ascii="宋体" w:hAnsi="宋体"/>
                <w:b/>
                <w:bCs/>
                <w:color w:val="000000"/>
                <w:szCs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697"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宋体" w:hAnsi="宋体"/>
                <w:color w:val="000000"/>
                <w:szCs w:val="24"/>
                <w:highlight w:val="none"/>
                <w:lang w:val="en-US" w:eastAsia="zh-CN"/>
              </w:rPr>
            </w:pPr>
            <w:r>
              <w:rPr>
                <w:rFonts w:hint="eastAsia" w:ascii="宋体" w:hAnsi="宋体"/>
                <w:color w:val="000000"/>
                <w:szCs w:val="24"/>
                <w:highlight w:val="none"/>
                <w:lang w:val="en-US" w:eastAsia="zh-CN"/>
              </w:rPr>
              <w:t>1</w:t>
            </w:r>
          </w:p>
        </w:tc>
        <w:tc>
          <w:tcPr>
            <w:tcW w:w="310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cs="宋体"/>
                <w:i w:val="0"/>
                <w:color w:val="000000"/>
                <w:kern w:val="0"/>
                <w:sz w:val="21"/>
                <w:szCs w:val="21"/>
                <w:highlight w:val="none"/>
                <w:u w:val="none"/>
                <w:lang w:val="en-US" w:eastAsia="zh-CN" w:bidi="ar"/>
              </w:rPr>
            </w:pPr>
          </w:p>
        </w:tc>
        <w:tc>
          <w:tcPr>
            <w:tcW w:w="1192"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olor w:val="000000"/>
                <w:sz w:val="21"/>
                <w:szCs w:val="21"/>
                <w:highlight w:val="none"/>
                <w:lang w:val="en-US" w:eastAsia="zh-CN"/>
              </w:rPr>
            </w:pPr>
          </w:p>
        </w:tc>
        <w:tc>
          <w:tcPr>
            <w:tcW w:w="69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color w:val="000000"/>
                <w:sz w:val="21"/>
                <w:szCs w:val="21"/>
                <w:highlight w:val="none"/>
              </w:rPr>
            </w:pPr>
          </w:p>
        </w:tc>
        <w:tc>
          <w:tcPr>
            <w:tcW w:w="1698"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宋体" w:hAnsi="宋体" w:eastAsia="宋体"/>
                <w:color w:val="000000"/>
                <w:sz w:val="21"/>
                <w:szCs w:val="21"/>
                <w:highlight w:val="none"/>
                <w:lang w:val="en-US" w:eastAsia="zh-CN"/>
              </w:rPr>
            </w:pPr>
          </w:p>
        </w:tc>
        <w:tc>
          <w:tcPr>
            <w:tcW w:w="1260" w:type="dxa"/>
            <w:vAlign w:val="center"/>
          </w:tcPr>
          <w:p>
            <w:pPr>
              <w:keepNext w:val="0"/>
              <w:keepLines w:val="0"/>
              <w:widowControl/>
              <w:suppressLineNumbers w:val="0"/>
              <w:jc w:val="center"/>
              <w:textAlignment w:val="center"/>
              <w:rPr>
                <w:rFonts w:hint="default" w:ascii="宋体" w:hAnsi="宋体"/>
                <w:color w:val="000000"/>
                <w:sz w:val="21"/>
                <w:szCs w:val="21"/>
                <w:highlight w:val="none"/>
                <w:lang w:val="en-US" w:eastAsia="zh-CN"/>
              </w:rPr>
            </w:pPr>
          </w:p>
        </w:tc>
        <w:tc>
          <w:tcPr>
            <w:tcW w:w="1236"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right="0" w:rightChars="0"/>
              <w:jc w:val="center"/>
              <w:textAlignment w:val="auto"/>
              <w:outlineLvl w:val="9"/>
              <w:rPr>
                <w:rFonts w:hint="default" w:ascii="宋体" w:hAnsi="宋体" w:eastAsia="宋体"/>
                <w:color w:val="000000"/>
                <w:sz w:val="21"/>
                <w:szCs w:val="21"/>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97"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宋体" w:hAnsi="宋体"/>
                <w:color w:val="000000"/>
                <w:szCs w:val="24"/>
                <w:highlight w:val="none"/>
                <w:lang w:val="en-US" w:eastAsia="zh-CN"/>
              </w:rPr>
            </w:pPr>
            <w:r>
              <w:rPr>
                <w:rFonts w:hint="eastAsia" w:ascii="宋体" w:hAnsi="宋体"/>
                <w:color w:val="000000"/>
                <w:szCs w:val="24"/>
                <w:highlight w:val="none"/>
                <w:lang w:val="en-US" w:eastAsia="zh-CN"/>
              </w:rPr>
              <w:t>2</w:t>
            </w:r>
          </w:p>
        </w:tc>
        <w:tc>
          <w:tcPr>
            <w:tcW w:w="310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cs="宋体"/>
                <w:i w:val="0"/>
                <w:color w:val="000000"/>
                <w:kern w:val="0"/>
                <w:sz w:val="21"/>
                <w:szCs w:val="21"/>
                <w:highlight w:val="none"/>
                <w:u w:val="none"/>
                <w:lang w:val="en-US" w:eastAsia="zh-CN" w:bidi="ar"/>
              </w:rPr>
            </w:pPr>
          </w:p>
        </w:tc>
        <w:tc>
          <w:tcPr>
            <w:tcW w:w="1192"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olor w:val="000000"/>
                <w:sz w:val="21"/>
                <w:szCs w:val="21"/>
                <w:highlight w:val="none"/>
                <w:lang w:val="en-US" w:eastAsia="zh-CN"/>
              </w:rPr>
            </w:pPr>
          </w:p>
        </w:tc>
        <w:tc>
          <w:tcPr>
            <w:tcW w:w="69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color w:val="000000"/>
                <w:sz w:val="21"/>
                <w:szCs w:val="21"/>
                <w:highlight w:val="none"/>
              </w:rPr>
            </w:pPr>
          </w:p>
        </w:tc>
        <w:tc>
          <w:tcPr>
            <w:tcW w:w="1698"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宋体" w:hAnsi="宋体" w:eastAsia="宋体"/>
                <w:color w:val="000000"/>
                <w:sz w:val="21"/>
                <w:szCs w:val="21"/>
                <w:highlight w:val="none"/>
                <w:lang w:val="en-US" w:eastAsia="zh-CN"/>
              </w:rPr>
            </w:pPr>
          </w:p>
        </w:tc>
        <w:tc>
          <w:tcPr>
            <w:tcW w:w="1260" w:type="dxa"/>
            <w:vAlign w:val="center"/>
          </w:tcPr>
          <w:p>
            <w:pPr>
              <w:keepNext w:val="0"/>
              <w:keepLines w:val="0"/>
              <w:widowControl/>
              <w:suppressLineNumbers w:val="0"/>
              <w:jc w:val="center"/>
              <w:textAlignment w:val="center"/>
              <w:rPr>
                <w:rFonts w:hint="default" w:ascii="宋体" w:hAnsi="宋体"/>
                <w:color w:val="000000"/>
                <w:sz w:val="21"/>
                <w:szCs w:val="21"/>
                <w:highlight w:val="none"/>
                <w:lang w:val="en-US" w:eastAsia="zh-CN"/>
              </w:rPr>
            </w:pPr>
          </w:p>
        </w:tc>
        <w:tc>
          <w:tcPr>
            <w:tcW w:w="1236" w:type="dxa"/>
            <w:vMerge w:val="continue"/>
            <w:vAlign w:val="center"/>
          </w:tcPr>
          <w:p>
            <w:pPr>
              <w:keepNext w:val="0"/>
              <w:keepLines w:val="0"/>
              <w:pageBreakBefore w:val="0"/>
              <w:widowControl w:val="0"/>
              <w:tabs>
                <w:tab w:val="left" w:pos="840"/>
              </w:tabs>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宋体" w:hAnsi="宋体" w:eastAsia="宋体"/>
                <w:color w:val="000000"/>
                <w:sz w:val="21"/>
                <w:szCs w:val="21"/>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697"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宋体" w:hAnsi="宋体"/>
                <w:color w:val="000000"/>
                <w:szCs w:val="24"/>
                <w:highlight w:val="none"/>
                <w:lang w:val="en-US" w:eastAsia="zh-CN"/>
              </w:rPr>
            </w:pPr>
            <w:r>
              <w:rPr>
                <w:rFonts w:hint="eastAsia" w:ascii="宋体" w:hAnsi="宋体"/>
                <w:color w:val="000000"/>
                <w:szCs w:val="24"/>
                <w:highlight w:val="none"/>
                <w:lang w:val="en-US" w:eastAsia="zh-CN"/>
              </w:rPr>
              <w:t>3</w:t>
            </w:r>
          </w:p>
        </w:tc>
        <w:tc>
          <w:tcPr>
            <w:tcW w:w="310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olor w:val="000000"/>
                <w:sz w:val="21"/>
                <w:szCs w:val="21"/>
                <w:highlight w:val="none"/>
                <w:lang w:val="en-US" w:eastAsia="zh-CN"/>
              </w:rPr>
            </w:pPr>
          </w:p>
        </w:tc>
        <w:tc>
          <w:tcPr>
            <w:tcW w:w="1192"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olor w:val="000000"/>
                <w:sz w:val="21"/>
                <w:szCs w:val="21"/>
                <w:highlight w:val="none"/>
                <w:lang w:val="en-US" w:eastAsia="zh-CN"/>
              </w:rPr>
            </w:pPr>
          </w:p>
        </w:tc>
        <w:tc>
          <w:tcPr>
            <w:tcW w:w="69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color w:val="000000"/>
                <w:sz w:val="21"/>
                <w:szCs w:val="21"/>
                <w:highlight w:val="none"/>
                <w:lang w:val="en-US" w:eastAsia="zh-CN"/>
              </w:rPr>
            </w:pPr>
          </w:p>
        </w:tc>
        <w:tc>
          <w:tcPr>
            <w:tcW w:w="1698"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宋体" w:hAnsi="宋体"/>
                <w:color w:val="000000"/>
                <w:sz w:val="21"/>
                <w:szCs w:val="21"/>
                <w:highlight w:val="none"/>
                <w:lang w:val="en-US" w:eastAsia="zh-CN"/>
              </w:rPr>
            </w:pPr>
          </w:p>
        </w:tc>
        <w:tc>
          <w:tcPr>
            <w:tcW w:w="1260" w:type="dxa"/>
            <w:vAlign w:val="center"/>
          </w:tcPr>
          <w:p>
            <w:pPr>
              <w:keepNext w:val="0"/>
              <w:keepLines w:val="0"/>
              <w:widowControl/>
              <w:suppressLineNumbers w:val="0"/>
              <w:jc w:val="center"/>
              <w:textAlignment w:val="center"/>
              <w:rPr>
                <w:rFonts w:hint="default" w:ascii="宋体" w:hAnsi="宋体"/>
                <w:color w:val="000000"/>
                <w:sz w:val="21"/>
                <w:szCs w:val="21"/>
                <w:highlight w:val="none"/>
                <w:lang w:val="en-US" w:eastAsia="zh-CN"/>
              </w:rPr>
            </w:pPr>
          </w:p>
        </w:tc>
        <w:tc>
          <w:tcPr>
            <w:tcW w:w="1236" w:type="dxa"/>
            <w:vMerge w:val="continue"/>
            <w:vAlign w:val="center"/>
          </w:tcPr>
          <w:p>
            <w:pPr>
              <w:keepNext w:val="0"/>
              <w:keepLines w:val="0"/>
              <w:pageBreakBefore w:val="0"/>
              <w:widowControl w:val="0"/>
              <w:tabs>
                <w:tab w:val="left" w:pos="840"/>
              </w:tabs>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宋体" w:hAnsi="宋体" w:eastAsia="宋体"/>
                <w:color w:val="000000"/>
                <w:sz w:val="21"/>
                <w:szCs w:val="21"/>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697"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宋体" w:hAnsi="宋体"/>
                <w:color w:val="000000"/>
                <w:szCs w:val="24"/>
                <w:highlight w:val="none"/>
                <w:lang w:val="en-US" w:eastAsia="zh-CN"/>
              </w:rPr>
            </w:pPr>
            <w:r>
              <w:rPr>
                <w:rFonts w:hint="eastAsia" w:ascii="宋体" w:hAnsi="宋体"/>
                <w:color w:val="000000"/>
                <w:szCs w:val="24"/>
                <w:highlight w:val="none"/>
                <w:lang w:val="en-US" w:eastAsia="zh-CN"/>
              </w:rPr>
              <w:t>4</w:t>
            </w:r>
          </w:p>
        </w:tc>
        <w:tc>
          <w:tcPr>
            <w:tcW w:w="310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olor w:val="000000"/>
                <w:sz w:val="21"/>
                <w:szCs w:val="21"/>
                <w:highlight w:val="none"/>
                <w:lang w:val="en-US" w:eastAsia="zh-CN"/>
              </w:rPr>
            </w:pPr>
          </w:p>
        </w:tc>
        <w:tc>
          <w:tcPr>
            <w:tcW w:w="1192"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olor w:val="000000"/>
                <w:sz w:val="21"/>
                <w:szCs w:val="21"/>
                <w:highlight w:val="none"/>
                <w:lang w:val="en-US" w:eastAsia="zh-CN"/>
              </w:rPr>
            </w:pPr>
          </w:p>
        </w:tc>
        <w:tc>
          <w:tcPr>
            <w:tcW w:w="695"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color w:val="000000"/>
                <w:sz w:val="21"/>
                <w:szCs w:val="21"/>
                <w:highlight w:val="none"/>
                <w:lang w:val="en-US" w:eastAsia="zh-CN"/>
              </w:rPr>
            </w:pPr>
          </w:p>
        </w:tc>
        <w:tc>
          <w:tcPr>
            <w:tcW w:w="1698" w:type="dxa"/>
            <w:vAlign w:val="center"/>
          </w:tcPr>
          <w:p>
            <w:pPr>
              <w:keepNext w:val="0"/>
              <w:keepLines w:val="0"/>
              <w:pageBreakBefore w:val="0"/>
              <w:widowControl w:val="0"/>
              <w:tabs>
                <w:tab w:val="left" w:pos="840"/>
              </w:tabs>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宋体" w:hAnsi="宋体" w:eastAsia="宋体"/>
                <w:color w:val="000000"/>
                <w:sz w:val="21"/>
                <w:szCs w:val="21"/>
                <w:highlight w:val="none"/>
                <w:lang w:val="en-US" w:eastAsia="zh-CN"/>
              </w:rPr>
            </w:pPr>
          </w:p>
        </w:tc>
        <w:tc>
          <w:tcPr>
            <w:tcW w:w="1260" w:type="dxa"/>
            <w:vAlign w:val="center"/>
          </w:tcPr>
          <w:p>
            <w:pPr>
              <w:keepNext w:val="0"/>
              <w:keepLines w:val="0"/>
              <w:widowControl/>
              <w:suppressLineNumbers w:val="0"/>
              <w:jc w:val="center"/>
              <w:textAlignment w:val="center"/>
              <w:rPr>
                <w:rFonts w:hint="default" w:ascii="宋体" w:hAnsi="宋体"/>
                <w:color w:val="000000"/>
                <w:sz w:val="21"/>
                <w:szCs w:val="21"/>
                <w:highlight w:val="none"/>
                <w:lang w:val="en-US" w:eastAsia="zh-CN"/>
              </w:rPr>
            </w:pPr>
          </w:p>
        </w:tc>
        <w:tc>
          <w:tcPr>
            <w:tcW w:w="1236"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olor w:val="000000"/>
                <w:sz w:val="21"/>
                <w:szCs w:val="21"/>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 w:hRule="atLeast"/>
          <w:jc w:val="center"/>
        </w:trPr>
        <w:tc>
          <w:tcPr>
            <w:tcW w:w="3802" w:type="dxa"/>
            <w:gridSpan w:val="2"/>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b/>
                <w:bCs/>
                <w:color w:val="000000"/>
                <w:sz w:val="21"/>
                <w:szCs w:val="21"/>
                <w:highlight w:val="none"/>
                <w:lang w:val="en-US" w:eastAsia="zh-CN"/>
              </w:rPr>
              <w:t>合同暂定</w:t>
            </w:r>
            <w:r>
              <w:rPr>
                <w:rFonts w:hint="eastAsia" w:ascii="宋体" w:hAnsi="宋体"/>
                <w:b/>
                <w:bCs/>
                <w:color w:val="000000"/>
                <w:sz w:val="21"/>
                <w:szCs w:val="21"/>
                <w:highlight w:val="none"/>
                <w:lang w:eastAsia="zh-CN"/>
              </w:rPr>
              <w:t>总价</w:t>
            </w:r>
          </w:p>
        </w:tc>
        <w:tc>
          <w:tcPr>
            <w:tcW w:w="6081" w:type="dxa"/>
            <w:gridSpan w:val="5"/>
            <w:vAlign w:val="center"/>
          </w:tcPr>
          <w:p>
            <w:pPr>
              <w:keepNext w:val="0"/>
              <w:keepLines w:val="0"/>
              <w:pageBreakBefore w:val="0"/>
              <w:widowControl w:val="0"/>
              <w:tabs>
                <w:tab w:val="left" w:pos="840"/>
              </w:tabs>
              <w:kinsoku/>
              <w:wordWrap/>
              <w:overflowPunct/>
              <w:topLinePunct w:val="0"/>
              <w:autoSpaceDE/>
              <w:autoSpaceDN/>
              <w:bidi w:val="0"/>
              <w:adjustRightInd/>
              <w:snapToGrid/>
              <w:spacing w:line="340" w:lineRule="exact"/>
              <w:ind w:left="0" w:leftChars="0" w:right="0" w:rightChars="0" w:firstLine="0" w:firstLineChars="0"/>
              <w:jc w:val="center"/>
              <w:textAlignment w:val="auto"/>
              <w:outlineLvl w:val="9"/>
              <w:rPr>
                <w:rFonts w:hint="default" w:ascii="宋体" w:hAnsi="宋体" w:eastAsia="宋体"/>
                <w:b/>
                <w:bCs/>
                <w:color w:val="000000"/>
                <w:sz w:val="21"/>
                <w:szCs w:val="21"/>
                <w:highlight w:val="none"/>
                <w:lang w:val="en-US" w:eastAsia="zh-CN"/>
              </w:rPr>
            </w:pPr>
          </w:p>
        </w:tc>
      </w:tr>
    </w:tbl>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jc w:val="both"/>
        <w:textAlignment w:val="auto"/>
        <w:outlineLvl w:val="9"/>
        <w:rPr>
          <w:rFonts w:hint="eastAsia" w:ascii="宋体" w:hAnsi="宋体"/>
          <w:color w:val="000000"/>
          <w:szCs w:val="24"/>
          <w:highlight w:val="none"/>
          <w:lang w:eastAsia="zh-CN"/>
        </w:rPr>
      </w:pPr>
      <w:r>
        <w:rPr>
          <w:rFonts w:hint="eastAsia" w:ascii="宋体" w:hAnsi="宋体"/>
          <w:color w:val="000000"/>
          <w:szCs w:val="24"/>
          <w:highlight w:val="none"/>
          <w:lang w:eastAsia="zh-CN"/>
        </w:rPr>
        <w:t>备注：</w:t>
      </w:r>
    </w:p>
    <w:p>
      <w:pPr>
        <w:keepNext w:val="0"/>
        <w:keepLines w:val="0"/>
        <w:pageBreakBefore w:val="0"/>
        <w:widowControl w:val="0"/>
        <w:numPr>
          <w:ilvl w:val="-1"/>
          <w:numId w:val="0"/>
        </w:numPr>
        <w:kinsoku/>
        <w:wordWrap/>
        <w:overflowPunct/>
        <w:topLinePunct w:val="0"/>
        <w:autoSpaceDE/>
        <w:autoSpaceDN/>
        <w:bidi w:val="0"/>
        <w:adjustRightInd/>
        <w:snapToGrid/>
        <w:spacing w:line="310" w:lineRule="exact"/>
        <w:ind w:left="420" w:leftChars="0" w:right="0" w:rightChars="0" w:firstLine="0"/>
        <w:jc w:val="both"/>
        <w:textAlignment w:val="auto"/>
        <w:outlineLvl w:val="9"/>
        <w:rPr>
          <w:rFonts w:hint="eastAsia" w:ascii="宋体" w:hAnsi="宋体"/>
          <w:szCs w:val="24"/>
          <w:highlight w:val="none"/>
        </w:rPr>
      </w:pPr>
      <w:r>
        <w:rPr>
          <w:rFonts w:hint="eastAsia" w:cs="Times New Roman"/>
          <w:highlight w:val="none"/>
          <w:lang w:val="en-US" w:eastAsia="zh-CN"/>
        </w:rPr>
        <w:t>4.1合</w:t>
      </w:r>
      <w:r>
        <w:rPr>
          <w:rFonts w:hint="eastAsia" w:ascii="宋体" w:hAnsi="宋体"/>
          <w:color w:val="000000"/>
          <w:szCs w:val="24"/>
          <w:highlight w:val="none"/>
          <w:lang w:val="en-US" w:eastAsia="zh-CN"/>
        </w:rPr>
        <w:t>同单</w:t>
      </w:r>
      <w:r>
        <w:rPr>
          <w:rFonts w:hint="eastAsia" w:ascii="宋体" w:hAnsi="宋体"/>
          <w:color w:val="000000"/>
          <w:szCs w:val="24"/>
          <w:highlight w:val="none"/>
          <w:lang w:eastAsia="zh-CN"/>
        </w:rPr>
        <w:t>价</w:t>
      </w:r>
      <w:r>
        <w:rPr>
          <w:rFonts w:hint="eastAsia" w:ascii="宋体" w:hAnsi="宋体"/>
          <w:color w:val="000000"/>
          <w:szCs w:val="24"/>
          <w:highlight w:val="none"/>
        </w:rPr>
        <w:t>含税</w:t>
      </w:r>
      <w:r>
        <w:rPr>
          <w:rFonts w:hint="eastAsia" w:ascii="宋体" w:hAnsi="宋体"/>
          <w:color w:val="000000"/>
          <w:szCs w:val="24"/>
          <w:highlight w:val="none"/>
          <w:lang w:eastAsia="zh-CN"/>
        </w:rPr>
        <w:t>，</w:t>
      </w:r>
      <w:r>
        <w:rPr>
          <w:rFonts w:hint="eastAsia" w:ascii="宋体" w:hAnsi="宋体"/>
          <w:color w:val="000000"/>
          <w:szCs w:val="24"/>
          <w:highlight w:val="none"/>
          <w:lang w:val="en-US" w:eastAsia="zh-CN"/>
        </w:rPr>
        <w:t>开具税率</w:t>
      </w:r>
      <w:r>
        <w:rPr>
          <w:rFonts w:hint="eastAsia" w:ascii="宋体" w:hAnsi="宋体"/>
          <w:color w:val="000000"/>
          <w:szCs w:val="24"/>
          <w:highlight w:val="none"/>
          <w:u w:val="single"/>
          <w:lang w:val="en-US" w:eastAsia="zh-CN"/>
        </w:rPr>
        <w:t xml:space="preserve">   </w:t>
      </w:r>
      <w:r>
        <w:rPr>
          <w:rFonts w:hint="eastAsia" w:ascii="宋体" w:hAnsi="宋体"/>
          <w:color w:val="000000"/>
          <w:szCs w:val="24"/>
          <w:highlight w:val="none"/>
          <w:lang w:val="en-US" w:eastAsia="zh-CN"/>
        </w:rPr>
        <w:t>%的增值税专用发票（税率按国家政策执行，造价随之调整）。</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4.2本合同为固定单价合同，合同单价包含入户门的制作、运输、安装、五金配件、调试、验收及售后服务的费用，包括本工程深化设计费、保险费、管理费、利润、税金等履行合同义务、责任的全部费用，除合同另有约定外，不作调整。</w:t>
      </w:r>
    </w:p>
    <w:p>
      <w:pPr>
        <w:spacing w:line="350" w:lineRule="exact"/>
        <w:ind w:firstLine="420" w:firstLineChars="200"/>
        <w:rPr>
          <w:rFonts w:hint="default" w:cs="Times New Roman"/>
          <w:highlight w:val="none"/>
          <w:lang w:val="en-US" w:eastAsia="zh-CN"/>
        </w:rPr>
      </w:pPr>
      <w:r>
        <w:rPr>
          <w:rFonts w:hint="eastAsia" w:cs="Times New Roman"/>
          <w:highlight w:val="none"/>
          <w:lang w:val="en-US" w:eastAsia="zh-CN"/>
        </w:rPr>
        <w:t>4.3工程量计算规则：执行《建设工程工程量清单计价规范》（GB50500-2013）、《房屋建筑与装饰工程工程量计算规范》（GB50854-2013）、《通用安装工程工程量计算规范》（GB50856-2013）。</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4.4计价依据</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4.4.1合同范围内的工程，按合同单价执行；</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4.4.2合同范围外的签证变更价款的调整方法；</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4.4.2.1合同中已有适用于变更工程的价格，按合同已有的价格执行；</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4.4.2.2合同中只有类似于变更工程的价格，可在合理范围内参照类似价格执行；</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4.4.2.3合同中没有适用或类似于变更工程的价格，按以下计价规则执行；</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①执行《广东省建设工程计价依据（2018）》： 《广东省建筑工程与装饰工程计价定额（2018）》、《广东省通用安装工程综合定额(2018)》、《广东省市政工程综合定额(2018)》、《广东省园林绿化工程综合定额(2018)》、《广东省工程量清单计价指引（2013)》等以及国家行政主管部门颁布的相关规定文件。</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②材料价、人工价：执行施工当地建设工程主管部门颁布的施工同期信息价。信息价上没有颁布的材料，由乙方按施工同期的市场价格提出合理的市场报价，市场报价须提供相关证明文件（含材料的厂家、品牌、型号、规格等），经甲方确认后作为独立费计入总价（计取税金），不参与任何取费及上下浮。</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③计价中除仅计取人工费、材料费、机具费、管理费、利润外，其余按系数计取的各类取费均不计取。</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④税率：按国家建设行政主管部门及国家税务部门的最新规定执行。</w:t>
      </w:r>
    </w:p>
    <w:p>
      <w:pPr>
        <w:spacing w:line="350" w:lineRule="exact"/>
        <w:ind w:firstLine="420" w:firstLineChars="200"/>
        <w:rPr>
          <w:rFonts w:hint="eastAsia" w:ascii="宋体" w:hAnsi="宋体"/>
          <w:color w:val="000000"/>
          <w:szCs w:val="24"/>
          <w:highlight w:val="none"/>
          <w:lang w:val="en-US" w:eastAsia="zh-CN"/>
        </w:rPr>
      </w:pPr>
      <w:r>
        <w:rPr>
          <w:rFonts w:hint="eastAsia" w:cs="Times New Roman"/>
          <w:highlight w:val="none"/>
          <w:lang w:val="en-US" w:eastAsia="zh-CN"/>
        </w:rPr>
        <w:t>4.4.2.4按上述计费方式得出的价款后：包工包料的工程按定额计价下浮18%后计取税金。（结算时，如乙方已请款部分开具的发票税率与合同约定不同时，须提供已请款金额及相应税率，且须甲方财务签字确认）</w:t>
      </w:r>
    </w:p>
    <w:p>
      <w:pPr>
        <w:keepNext w:val="0"/>
        <w:keepLines w:val="0"/>
        <w:pageBreakBefore w:val="0"/>
        <w:widowControl w:val="0"/>
        <w:numPr>
          <w:ilvl w:val="0"/>
          <w:numId w:val="1"/>
        </w:numPr>
        <w:kinsoku/>
        <w:wordWrap/>
        <w:overflowPunct/>
        <w:topLinePunct w:val="0"/>
        <w:autoSpaceDE/>
        <w:autoSpaceDN/>
        <w:bidi w:val="0"/>
        <w:adjustRightInd/>
        <w:snapToGrid/>
        <w:spacing w:line="310" w:lineRule="exact"/>
        <w:ind w:right="0" w:rightChars="0"/>
        <w:jc w:val="both"/>
        <w:textAlignment w:val="auto"/>
        <w:outlineLvl w:val="9"/>
        <w:rPr>
          <w:rFonts w:hint="eastAsia" w:ascii="宋体" w:hAnsi="宋体"/>
          <w:b/>
          <w:bCs/>
          <w:color w:val="000000"/>
          <w:szCs w:val="24"/>
          <w:highlight w:val="none"/>
          <w:lang w:eastAsia="zh-CN"/>
        </w:rPr>
      </w:pPr>
      <w:r>
        <w:rPr>
          <w:rFonts w:hint="eastAsia" w:ascii="宋体" w:hAnsi="宋体"/>
          <w:b/>
          <w:bCs/>
          <w:color w:val="000000"/>
          <w:szCs w:val="24"/>
          <w:highlight w:val="none"/>
          <w:lang w:eastAsia="zh-CN"/>
        </w:rPr>
        <w:t>结算方式</w:t>
      </w:r>
    </w:p>
    <w:p>
      <w:pPr>
        <w:keepNext w:val="0"/>
        <w:keepLines w:val="0"/>
        <w:pageBreakBefore w:val="0"/>
        <w:widowControl w:val="0"/>
        <w:numPr>
          <w:ilvl w:val="0"/>
          <w:numId w:val="0"/>
        </w:numPr>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ascii="宋体" w:hAnsi="宋体"/>
          <w:b w:val="0"/>
          <w:bCs w:val="0"/>
          <w:color w:val="000000"/>
          <w:szCs w:val="24"/>
          <w:highlight w:val="none"/>
          <w:lang w:eastAsia="zh-CN"/>
        </w:rPr>
      </w:pPr>
      <w:r>
        <w:rPr>
          <w:rFonts w:hint="eastAsia" w:ascii="宋体" w:hAnsi="宋体"/>
          <w:b w:val="0"/>
          <w:bCs w:val="0"/>
          <w:color w:val="000000"/>
          <w:szCs w:val="24"/>
          <w:highlight w:val="none"/>
          <w:lang w:val="en-US" w:eastAsia="zh-CN"/>
        </w:rPr>
        <w:t>5</w:t>
      </w:r>
      <w:r>
        <w:rPr>
          <w:rFonts w:hint="eastAsia" w:ascii="宋体" w:hAnsi="宋体"/>
          <w:b w:val="0"/>
          <w:bCs w:val="0"/>
          <w:color w:val="000000"/>
          <w:szCs w:val="24"/>
          <w:highlight w:val="none"/>
          <w:lang w:eastAsia="zh-CN"/>
        </w:rPr>
        <w:t>.1经甲方项目部验收，按“完成达到合同标准的实际工程量×相应合同单价”的方式结算。</w:t>
      </w:r>
    </w:p>
    <w:p>
      <w:pPr>
        <w:keepNext w:val="0"/>
        <w:keepLines w:val="0"/>
        <w:pageBreakBefore w:val="0"/>
        <w:widowControl w:val="0"/>
        <w:numPr>
          <w:ilvl w:val="0"/>
          <w:numId w:val="0"/>
        </w:numPr>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ascii="宋体" w:hAnsi="宋体"/>
          <w:b w:val="0"/>
          <w:bCs w:val="0"/>
          <w:color w:val="000000"/>
          <w:szCs w:val="24"/>
          <w:highlight w:val="none"/>
          <w:lang w:eastAsia="zh-CN"/>
        </w:rPr>
      </w:pPr>
      <w:r>
        <w:rPr>
          <w:rFonts w:hint="eastAsia" w:ascii="宋体" w:hAnsi="宋体"/>
          <w:b w:val="0"/>
          <w:bCs w:val="0"/>
          <w:color w:val="000000"/>
          <w:szCs w:val="24"/>
          <w:highlight w:val="none"/>
          <w:lang w:val="en-US" w:eastAsia="zh-CN"/>
        </w:rPr>
        <w:t>5</w:t>
      </w:r>
      <w:r>
        <w:rPr>
          <w:rFonts w:hint="eastAsia" w:ascii="宋体" w:hAnsi="宋体"/>
          <w:b w:val="0"/>
          <w:bCs w:val="0"/>
          <w:color w:val="000000"/>
          <w:szCs w:val="24"/>
          <w:highlight w:val="none"/>
          <w:lang w:eastAsia="zh-CN"/>
        </w:rPr>
        <w:t>.2未经甲方项目部验收或验收达不到合同标准、在整改中的工程不予结算。</w:t>
      </w:r>
    </w:p>
    <w:p>
      <w:pPr>
        <w:keepNext w:val="0"/>
        <w:keepLines w:val="0"/>
        <w:pageBreakBefore w:val="0"/>
        <w:widowControl w:val="0"/>
        <w:numPr>
          <w:ilvl w:val="0"/>
          <w:numId w:val="0"/>
        </w:numPr>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ascii="宋体" w:hAnsi="宋体"/>
          <w:b w:val="0"/>
          <w:bCs w:val="0"/>
          <w:color w:val="000000"/>
          <w:szCs w:val="24"/>
          <w:highlight w:val="none"/>
          <w:lang w:eastAsia="zh-CN"/>
        </w:rPr>
      </w:pPr>
      <w:r>
        <w:rPr>
          <w:rFonts w:hint="eastAsia" w:ascii="宋体" w:hAnsi="宋体"/>
          <w:b w:val="0"/>
          <w:bCs w:val="0"/>
          <w:color w:val="000000"/>
          <w:szCs w:val="24"/>
          <w:highlight w:val="none"/>
          <w:lang w:val="en-US" w:eastAsia="zh-CN"/>
        </w:rPr>
        <w:t>5</w:t>
      </w:r>
      <w:r>
        <w:rPr>
          <w:rFonts w:hint="eastAsia" w:ascii="宋体" w:hAnsi="宋体"/>
          <w:b w:val="0"/>
          <w:bCs w:val="0"/>
          <w:color w:val="000000"/>
          <w:szCs w:val="24"/>
          <w:highlight w:val="none"/>
          <w:lang w:eastAsia="zh-CN"/>
        </w:rPr>
        <w:t>.3因设计变更引起的工程量变化，经甲方项目部签证上报公司审批后，结算时按合同单价×工程量，按变更作相应增减。</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5.4因合同中已有施工方案的变化引起的工程价款变化，结算时不再调整（合同中未明确的施工方案除外）。</w:t>
      </w:r>
    </w:p>
    <w:p>
      <w:pPr>
        <w:spacing w:line="350" w:lineRule="exact"/>
        <w:ind w:firstLine="420" w:firstLineChars="200"/>
        <w:rPr>
          <w:rFonts w:hint="default" w:cs="Times New Roman"/>
          <w:highlight w:val="none"/>
          <w:lang w:val="en-US" w:eastAsia="zh-CN"/>
        </w:rPr>
      </w:pPr>
      <w:r>
        <w:rPr>
          <w:rFonts w:hint="eastAsia" w:cs="Times New Roman"/>
          <w:highlight w:val="none"/>
          <w:lang w:val="en-US" w:eastAsia="zh-CN"/>
        </w:rPr>
        <w:t>5.5工程量计算尺寸均以竣工图纸尺寸为准。现场尺寸如超出图纸尺寸，超出部分不属于增加工程，甲方无需增加支付工程款。</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5.6零星时工计价规定：</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 xml:space="preserve">  5.6.1零星用人工以时工派工单的方式结算（现用白、红、黄三联单）；</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 xml:space="preserve">  5.6.2零星时工填写派工单时，应根据时工发生的责任分别写单。属甲方承担的，用甲方内部现场签证单；属扣“XX班组”的单独写单，并注明扣“XX班组”；属建设单位签证的（不属甲方范围的零星用工）必须附建设单位签证单复印件；</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 xml:space="preserve">  5.6.3当月发生的零星用工，必须在当月25日后5天内交甲方工程部审核，否则过期的派工单一律作废；</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 xml:space="preserve">  5.6.4零星用工单价；230元/工日（含税）。</w:t>
      </w:r>
    </w:p>
    <w:p>
      <w:pPr>
        <w:spacing w:line="350" w:lineRule="exact"/>
        <w:ind w:firstLine="630" w:firstLineChars="300"/>
        <w:rPr>
          <w:rFonts w:hint="default" w:cs="Times New Roman"/>
          <w:highlight w:val="none"/>
          <w:lang w:val="en-US" w:eastAsia="zh-CN"/>
        </w:rPr>
      </w:pPr>
      <w:r>
        <w:rPr>
          <w:rFonts w:hint="eastAsia" w:cs="Times New Roman"/>
          <w:highlight w:val="none"/>
          <w:lang w:val="en-US" w:eastAsia="zh-CN"/>
        </w:rPr>
        <w:t>5.6.5合同范围外增加工程超10%的，超出部分甲方有权要求按上述4.4.2条计算。</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5.7甲乙双方办理结算时，乙方必须按甲方要求注明结算金额中的各楼栋具体金额（以便甲方统计各楼栋的费用），否则甲方有权不予结算且不承担任何违约责任。</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5.8乙方提交的竣工资料、签证单（须附建设方联系函或变更单和签证单分包说明）、工程量确认单等（以甲方要求的格式为准，详见《结算申请表》、《工程结算资料审查表》）必须为签章齐全的原件，否则甲方不予结算相关费用。</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5.9 鉴于本合同所列单价未必完善，如在施工过程中发生新的工程变更内容且无适用的合同单价（例如：工程设计变更或增加承包内容等导致的新工程等），乙方须按甲方要求先行施工（否则每延迟一天乙方须向甲方支付违约金人民币两千元），并在甲方通知施工之日起三个工作日内书面向甲方申报工程单价（申报格式以甲方确定的为准），逾期不申报视为乙方同意甲方单方确定的结算价格。</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5.10结算书由乙方自行遵守实事求是的原则编制并向甲方申报，一旦申报结算后不得再另行增补结算资料和增加结算金额。申报格式及表格等相关要求按照甲方统一要求执行，否则甲方有权不予结算。如乙方所报结算工程量少于实际工程量，视为乙方放弃少报、漏报部分的权利和款项，结算时不予计算，甲方无需承担费用。乙方所报结算总价高出甲方最终审定价（即本工程甲乙双方确认的竣工结算价）10%以上时，甲方在支付结算款时按（乙方所报结算总价-甲方最终审定价）*20%对乙方处以不诚信处罚，即甲方将在结算款中一次性扣除（乙方所报结算总价-甲方最终审定价）*20%的金额。</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5.11结算资料要求</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5.11.1递交完整的结算书一式两份（正副本各一份）及电子档文件（计价软件、模型算量要求使用“广联达”，计算表格要求“Excel”格式，图纸要求PDF和CAD格式）；</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5.112装订要求：胶装、盖骑缝章、法人签章；</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5.11.3结算资料排序：封面、目录、结算申请表、工程结算资料审查表、工程合同、工程验收单、工程结算书、签证预算书、变更单、签证联系函及签证单、照片及相关图纸、记录文件等。</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5.11.4乙方递交结算资料的前提，甲方需有建设单位完整的签字版竣工图；</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5.11.5递交结算资料须按《结算申请表》、《工程结算资料审查表》要求。</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5.12签证资料要求：乙方必须在签证内容完成之日起2个工作日配合甲方项目部验收组完成现场收方。对于隐蔽签证工程，在隐蔽前需配合项目部验收组对签证部位共同办理数量确认草签记录。5个工作日内提交对签证部位的工程量及单价申报文件，同时对项目部经办的分包签证确认单进行确认。</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5.13因设计变更或现场签证引起的工程量变化按公司的“隐蔽工程验收管理制度”第6.5条办理工程量确认，分包签证确认单量与建设方签证单确认量不符，按最小的量作为分包单位结算量，结算单按本合同第四章约定执行。</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jc w:val="both"/>
        <w:textAlignment w:val="auto"/>
        <w:outlineLvl w:val="9"/>
        <w:rPr>
          <w:rFonts w:hint="eastAsia" w:ascii="宋体" w:hAnsi="宋体"/>
          <w:szCs w:val="24"/>
          <w:highlight w:val="none"/>
          <w:lang w:val="en-US" w:eastAsia="zh-CN"/>
        </w:rPr>
      </w:pPr>
      <w:r>
        <w:rPr>
          <w:rFonts w:hint="eastAsia" w:ascii="宋体" w:hAnsi="宋体"/>
          <w:b/>
          <w:bCs/>
          <w:color w:val="000000"/>
          <w:szCs w:val="21"/>
          <w:highlight w:val="none"/>
          <w:lang w:eastAsia="zh-CN"/>
        </w:rPr>
        <w:t>六</w:t>
      </w:r>
      <w:r>
        <w:rPr>
          <w:rFonts w:hint="eastAsia" w:ascii="宋体" w:hAnsi="宋体"/>
          <w:b/>
          <w:bCs/>
          <w:color w:val="000000"/>
          <w:szCs w:val="21"/>
          <w:highlight w:val="none"/>
        </w:rPr>
        <w:t>、付款方式</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6.1合同签定后，甲方支付合同暂定总价的20%作为定金，合同履行后，定金抵作合同款；</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6.2全部门框、门扇进场并经甲方确认后，甲方付至合同暂定总价的70%；</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6.3本工程完工、水岸华府三期经建设行政主管部门竣工验收合格及消防主管部门消防验收合格并移交建设单位后，甲乙双方办理结算，双方就结算金额达成书面一致意见后，甲方付至结算总价97%；</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6.4余留结算总价的3%作为工程质量保证金，保修期满且乙方如实履行保修义务后无息结付清。</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6.5乙方每次收款时，必须提供甲方认可的等额合法增值税专用发票（发票内容与合同内容一致）给甲方，否则甲方有权不付款。甲方发现乙方开具假发票的，乙方须书面向甲方承认开具假发票行为并重新开具合法发票，同时乙方须按假发票金额的30%向甲方支付违约金。乙方提供的发票开具单位名称与本合同乙方名称不一致的，甲方有权按乙方提供假发票处理，且同时拒付合同价款并无需承担任何违约责任。</w:t>
      </w:r>
    </w:p>
    <w:p>
      <w:pPr>
        <w:keepNext w:val="0"/>
        <w:keepLines w:val="0"/>
        <w:pageBreakBefore w:val="0"/>
        <w:widowControl w:val="0"/>
        <w:kinsoku/>
        <w:wordWrap/>
        <w:overflowPunct/>
        <w:topLinePunct w:val="0"/>
        <w:autoSpaceDE/>
        <w:autoSpaceDN/>
        <w:bidi w:val="0"/>
        <w:spacing w:line="310" w:lineRule="exact"/>
        <w:ind w:right="0" w:rightChars="0"/>
        <w:textAlignment w:val="auto"/>
        <w:outlineLvl w:val="9"/>
        <w:rPr>
          <w:rFonts w:hint="default" w:cs="Times New Roman"/>
          <w:highlight w:val="none"/>
          <w:lang w:eastAsia="zh-CN"/>
        </w:rPr>
      </w:pPr>
      <w:r>
        <w:rPr>
          <w:rFonts w:hint="eastAsia" w:ascii="宋体" w:hAnsi="宋体" w:cs="宋体"/>
          <w:b/>
          <w:bCs/>
          <w:szCs w:val="21"/>
          <w:highlight w:val="none"/>
          <w:lang w:eastAsia="zh-CN"/>
        </w:rPr>
        <w:t>七</w:t>
      </w:r>
      <w:r>
        <w:rPr>
          <w:rFonts w:hint="eastAsia" w:ascii="宋体" w:hAnsi="宋体" w:cs="宋体"/>
          <w:b/>
          <w:bCs/>
          <w:szCs w:val="21"/>
          <w:highlight w:val="none"/>
        </w:rPr>
        <w:t>、双方责任和权利：</w:t>
      </w:r>
      <w:r>
        <w:rPr>
          <w:rFonts w:hint="eastAsia" w:ascii="宋体" w:hAnsi="宋体" w:cs="宋体"/>
          <w:szCs w:val="21"/>
          <w:highlight w:val="none"/>
        </w:rPr>
        <w:t xml:space="preserve"> </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default" w:cs="Times New Roman"/>
          <w:highlight w:val="none"/>
          <w:lang w:eastAsia="zh-CN"/>
        </w:rPr>
      </w:pPr>
      <w:r>
        <w:rPr>
          <w:rFonts w:hint="eastAsia" w:cs="Times New Roman"/>
          <w:highlight w:val="none"/>
          <w:lang w:val="en-US" w:eastAsia="zh-CN"/>
        </w:rPr>
        <w:t>7.</w:t>
      </w:r>
      <w:r>
        <w:rPr>
          <w:rFonts w:hint="eastAsia" w:cs="Times New Roman"/>
          <w:highlight w:val="none"/>
          <w:lang w:eastAsia="zh-CN"/>
        </w:rPr>
        <w:t>1甲方责任和权利</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default" w:cs="Times New Roman"/>
          <w:highlight w:val="none"/>
          <w:lang w:eastAsia="zh-CN"/>
        </w:rPr>
      </w:pPr>
      <w:r>
        <w:rPr>
          <w:rFonts w:hint="eastAsia" w:cs="Times New Roman"/>
          <w:highlight w:val="none"/>
          <w:lang w:eastAsia="zh-CN"/>
        </w:rPr>
        <w:t xml:space="preserve"> </w:t>
      </w:r>
      <w:r>
        <w:rPr>
          <w:rFonts w:hint="default" w:cs="Times New Roman"/>
          <w:highlight w:val="none"/>
          <w:lang w:eastAsia="zh-CN"/>
        </w:rPr>
        <w:t xml:space="preserve"> 7.1.1</w:t>
      </w:r>
      <w:r>
        <w:rPr>
          <w:rFonts w:hint="eastAsia" w:cs="Times New Roman"/>
          <w:highlight w:val="none"/>
          <w:lang w:eastAsia="zh-CN"/>
        </w:rPr>
        <w:t>对于甲方认为会影响工程质量或可能会发生安全事故的材料，甲方有权拒绝乙方</w:t>
      </w:r>
      <w:r>
        <w:rPr>
          <w:rFonts w:hint="eastAsia" w:cs="Times New Roman"/>
          <w:highlight w:val="none"/>
          <w:lang w:val="en-US" w:eastAsia="zh-CN"/>
        </w:rPr>
        <w:t>用于</w:t>
      </w:r>
      <w:r>
        <w:rPr>
          <w:rFonts w:hint="eastAsia" w:cs="Times New Roman"/>
          <w:highlight w:val="none"/>
          <w:lang w:eastAsia="zh-CN"/>
        </w:rPr>
        <w:t>本</w:t>
      </w:r>
      <w:r>
        <w:rPr>
          <w:rFonts w:hint="eastAsia" w:cs="Times New Roman"/>
          <w:highlight w:val="none"/>
          <w:lang w:val="en-US" w:eastAsia="zh-CN"/>
        </w:rPr>
        <w:t>工程</w:t>
      </w:r>
      <w:r>
        <w:rPr>
          <w:rFonts w:hint="eastAsia" w:cs="Times New Roman"/>
          <w:highlight w:val="none"/>
          <w:lang w:eastAsia="zh-CN"/>
        </w:rPr>
        <w:t>；</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eastAsia="zh-CN"/>
        </w:rPr>
      </w:pPr>
      <w:r>
        <w:rPr>
          <w:rFonts w:hint="eastAsia" w:cs="Times New Roman"/>
          <w:highlight w:val="none"/>
          <w:lang w:val="en-US" w:eastAsia="zh-CN"/>
        </w:rPr>
        <w:t xml:space="preserve"> </w:t>
      </w:r>
      <w:r>
        <w:rPr>
          <w:rFonts w:hint="default" w:cs="Times New Roman"/>
          <w:highlight w:val="none"/>
          <w:lang w:eastAsia="zh-CN"/>
        </w:rPr>
        <w:t xml:space="preserve"> </w:t>
      </w:r>
      <w:r>
        <w:rPr>
          <w:rFonts w:hint="eastAsia" w:cs="Times New Roman"/>
          <w:highlight w:val="none"/>
          <w:lang w:val="en-US" w:eastAsia="zh-CN"/>
        </w:rPr>
        <w:t>7.1.2）</w:t>
      </w:r>
      <w:r>
        <w:rPr>
          <w:rFonts w:hint="eastAsia" w:cs="Times New Roman"/>
          <w:highlight w:val="none"/>
          <w:lang w:eastAsia="zh-CN"/>
        </w:rPr>
        <w:t>甲方按本工程图纸要求预留规格孔洞。乙方进场前应检查孔洞是否符合图纸要求，如与图纸不符应及时处理；</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630" w:firstLineChars="300"/>
        <w:jc w:val="both"/>
        <w:textAlignment w:val="auto"/>
        <w:outlineLvl w:val="9"/>
        <w:rPr>
          <w:rFonts w:hint="eastAsia" w:cs="Times New Roman"/>
          <w:highlight w:val="none"/>
          <w:lang w:eastAsia="zh-CN"/>
        </w:rPr>
      </w:pPr>
      <w:r>
        <w:rPr>
          <w:rFonts w:hint="eastAsia" w:cs="Times New Roman"/>
          <w:highlight w:val="none"/>
          <w:lang w:val="en-US" w:eastAsia="zh-CN"/>
        </w:rPr>
        <w:t>7.1.3</w:t>
      </w:r>
      <w:r>
        <w:rPr>
          <w:rFonts w:hint="eastAsia" w:cs="Times New Roman"/>
          <w:highlight w:val="none"/>
          <w:lang w:eastAsia="zh-CN"/>
        </w:rPr>
        <w:t>）甲方在现场提供约</w:t>
      </w:r>
      <w:r>
        <w:rPr>
          <w:rFonts w:hint="eastAsia" w:cs="Times New Roman"/>
          <w:highlight w:val="none"/>
          <w:lang w:val="en-US" w:eastAsia="zh-CN"/>
        </w:rPr>
        <w:t>100</w:t>
      </w:r>
      <w:r>
        <w:rPr>
          <w:rFonts w:hint="eastAsia" w:cs="Times New Roman"/>
          <w:highlight w:val="none"/>
          <w:lang w:eastAsia="zh-CN"/>
        </w:rPr>
        <w:t>m2场地给乙方做临时仓库存放半成品和其它材料，由乙方自行保管；</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eastAsia="zh-CN"/>
        </w:rPr>
      </w:pPr>
      <w:r>
        <w:rPr>
          <w:rFonts w:hint="eastAsia" w:cs="Times New Roman"/>
          <w:highlight w:val="none"/>
          <w:lang w:val="en-US" w:eastAsia="zh-CN"/>
        </w:rPr>
        <w:t xml:space="preserve"> </w:t>
      </w:r>
      <w:r>
        <w:rPr>
          <w:rFonts w:hint="default" w:cs="Times New Roman"/>
          <w:highlight w:val="none"/>
          <w:lang w:eastAsia="zh-CN"/>
        </w:rPr>
        <w:t xml:space="preserve"> </w:t>
      </w:r>
      <w:r>
        <w:rPr>
          <w:rFonts w:hint="eastAsia" w:cs="Times New Roman"/>
          <w:highlight w:val="none"/>
          <w:lang w:val="en-US" w:eastAsia="zh-CN"/>
        </w:rPr>
        <w:t>7.1.4）</w:t>
      </w:r>
      <w:r>
        <w:rPr>
          <w:rFonts w:hint="eastAsia" w:cs="Times New Roman"/>
          <w:highlight w:val="none"/>
          <w:lang w:eastAsia="zh-CN"/>
        </w:rPr>
        <w:t>甲方免费提供乙方所需的施工场所和施工用水、电、水泥砂浆、水平标高。临时用水电及其他设施均为甲方既有的可以提供给乙方使用；</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eastAsia="zh-CN"/>
        </w:rPr>
      </w:pPr>
      <w:r>
        <w:rPr>
          <w:rFonts w:hint="eastAsia"/>
          <w:szCs w:val="21"/>
          <w:highlight w:val="none"/>
          <w:lang w:val="en-US" w:eastAsia="zh-CN"/>
        </w:rPr>
        <w:t xml:space="preserve">  </w:t>
      </w:r>
      <w:r>
        <w:rPr>
          <w:rFonts w:hint="eastAsia"/>
          <w:szCs w:val="21"/>
          <w:highlight w:val="yellow"/>
          <w:lang w:val="en-US" w:eastAsia="zh-CN"/>
        </w:rPr>
        <w:t>7.1.5甲方提供的入户门门洞须满足：门洞尺寸与深化设计图纸设计尺寸的偏差等于或小于20mm，入户防火门门洞宽不得小于1050mm。</w:t>
      </w:r>
      <w:r>
        <w:rPr>
          <w:rFonts w:hint="eastAsia"/>
          <w:szCs w:val="21"/>
          <w:highlight w:val="none"/>
          <w:lang w:val="en-US" w:eastAsia="zh-CN"/>
        </w:rPr>
        <w:t>甲方按此标准提供门洞给乙方施工后，乙方保证本工程顺利验收合格（包括政府主管部门及建设单位的验收）且本工程不会影响本项目的各项验收（包括但不限于消防验收等），否则</w:t>
      </w:r>
      <w:r>
        <w:rPr>
          <w:rFonts w:hint="eastAsia" w:ascii="宋体" w:hAnsi="宋体" w:cs="宋体"/>
          <w:kern w:val="0"/>
          <w:sz w:val="21"/>
          <w:szCs w:val="21"/>
          <w:highlight w:val="none"/>
          <w:lang w:val="en-US" w:eastAsia="zh-CN" w:bidi="ar"/>
        </w:rPr>
        <w:t>整改费用及甲方因此遭受的损失全部</w:t>
      </w:r>
      <w:r>
        <w:rPr>
          <w:rFonts w:ascii="宋体" w:hAnsi="宋体" w:eastAsia="宋体" w:cs="宋体"/>
          <w:kern w:val="0"/>
          <w:sz w:val="21"/>
          <w:szCs w:val="21"/>
          <w:highlight w:val="none"/>
          <w:lang w:val="en-US" w:eastAsia="zh-CN" w:bidi="ar"/>
        </w:rPr>
        <w:t>由乙方承担</w:t>
      </w:r>
      <w:r>
        <w:rPr>
          <w:rFonts w:hint="eastAsia" w:ascii="宋体" w:hAnsi="宋体" w:cs="宋体"/>
          <w:kern w:val="0"/>
          <w:sz w:val="21"/>
          <w:szCs w:val="21"/>
          <w:highlight w:val="none"/>
          <w:lang w:val="en-US" w:eastAsia="zh-CN" w:bidi="ar"/>
        </w:rPr>
        <w:t>。</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eastAsia="zh-CN"/>
        </w:rPr>
      </w:pPr>
      <w:r>
        <w:rPr>
          <w:rFonts w:hint="eastAsia" w:cs="Times New Roman"/>
          <w:highlight w:val="none"/>
          <w:lang w:eastAsia="zh-CN"/>
        </w:rPr>
        <w:t xml:space="preserve">  </w:t>
      </w:r>
      <w:r>
        <w:rPr>
          <w:rFonts w:hint="eastAsia" w:cs="Times New Roman"/>
          <w:highlight w:val="none"/>
          <w:lang w:val="en-US" w:eastAsia="zh-CN"/>
        </w:rPr>
        <w:t>7.1.6）</w:t>
      </w:r>
      <w:r>
        <w:rPr>
          <w:rFonts w:hint="eastAsia" w:cs="Times New Roman"/>
          <w:highlight w:val="yellow"/>
          <w:lang w:eastAsia="zh-CN"/>
        </w:rPr>
        <w:t>甲方提供的洞口尺寸与实际洞口尺寸允许偏差±</w:t>
      </w:r>
      <w:r>
        <w:rPr>
          <w:rFonts w:hint="eastAsia" w:cs="Times New Roman"/>
          <w:highlight w:val="yellow"/>
          <w:lang w:val="en-US" w:eastAsia="zh-CN"/>
        </w:rPr>
        <w:t>2</w:t>
      </w:r>
      <w:r>
        <w:rPr>
          <w:rFonts w:hint="eastAsia" w:cs="Times New Roman"/>
          <w:highlight w:val="yellow"/>
          <w:lang w:eastAsia="zh-CN"/>
        </w:rPr>
        <w:t>0mm。</w:t>
      </w:r>
      <w:r>
        <w:rPr>
          <w:rFonts w:hint="eastAsia" w:cs="Times New Roman"/>
          <w:highlight w:val="none"/>
          <w:lang w:eastAsia="zh-CN"/>
        </w:rPr>
        <w:t>若洞口尺寸超过此范围，则甲方在安装前负责修正。乙方不承担由于土建不及时修改洞口造成的工期延误；</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eastAsia="zh-CN"/>
        </w:rPr>
      </w:pPr>
      <w:r>
        <w:rPr>
          <w:rFonts w:hint="eastAsia" w:cs="Times New Roman"/>
          <w:highlight w:val="none"/>
          <w:lang w:eastAsia="zh-CN"/>
        </w:rPr>
        <w:t xml:space="preserve">  </w:t>
      </w:r>
      <w:r>
        <w:rPr>
          <w:rFonts w:hint="eastAsia" w:cs="Times New Roman"/>
          <w:highlight w:val="none"/>
          <w:lang w:val="en-US" w:eastAsia="zh-CN"/>
        </w:rPr>
        <w:t>7.1.7）</w:t>
      </w:r>
      <w:r>
        <w:rPr>
          <w:rFonts w:hint="eastAsia" w:cs="Times New Roman"/>
          <w:highlight w:val="none"/>
          <w:lang w:eastAsia="zh-CN"/>
        </w:rPr>
        <w:t>工程变更若涉及入户门工程，甲方必须以书面通知乙方，若因工程变更导致增加工程量，甲方需给予乙方合理的备料期（具体时间双方协商）并办理签证认可；</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630" w:firstLineChars="300"/>
        <w:jc w:val="both"/>
        <w:textAlignment w:val="auto"/>
        <w:outlineLvl w:val="9"/>
        <w:rPr>
          <w:rFonts w:hint="default" w:cs="Times New Roman"/>
          <w:highlight w:val="none"/>
          <w:lang w:eastAsia="zh-CN"/>
        </w:rPr>
      </w:pPr>
      <w:r>
        <w:rPr>
          <w:rFonts w:hint="eastAsia" w:cs="Times New Roman"/>
          <w:highlight w:val="none"/>
          <w:lang w:val="en-US" w:eastAsia="zh-CN"/>
        </w:rPr>
        <w:t>7.1.8）</w:t>
      </w:r>
      <w:r>
        <w:rPr>
          <w:rFonts w:hint="eastAsia" w:cs="Times New Roman"/>
          <w:highlight w:val="none"/>
          <w:lang w:eastAsia="zh-CN"/>
        </w:rPr>
        <w:t>按国家工程质量标准对乙方所施工成品进行内部检验，并办理过程验收手续和完工后总体验收手续；在验收合格情况下应严格按照本合同及时与乙方进行工程量结算及支付相关酬金；</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630" w:firstLineChars="300"/>
        <w:jc w:val="both"/>
        <w:textAlignment w:val="auto"/>
        <w:outlineLvl w:val="9"/>
        <w:rPr>
          <w:rFonts w:hint="default" w:cs="Times New Roman"/>
          <w:highlight w:val="none"/>
          <w:lang w:eastAsia="zh-CN"/>
        </w:rPr>
      </w:pPr>
      <w:r>
        <w:rPr>
          <w:rFonts w:hint="eastAsia" w:cs="Times New Roman"/>
          <w:highlight w:val="none"/>
          <w:lang w:val="en-US" w:eastAsia="zh-CN"/>
        </w:rPr>
        <w:t>7.1.9</w:t>
      </w:r>
      <w:r>
        <w:rPr>
          <w:rFonts w:hint="eastAsia" w:cs="Times New Roman"/>
          <w:highlight w:val="none"/>
          <w:lang w:eastAsia="zh-CN"/>
        </w:rPr>
        <w:t>）甲方有权根据工程总体情况安排工期，规定乙方先做某部位后做某部位，何时增加工人何时减少工人，乙方必须服从调动及安排；</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630" w:firstLineChars="300"/>
        <w:jc w:val="both"/>
        <w:textAlignment w:val="auto"/>
        <w:outlineLvl w:val="9"/>
        <w:rPr>
          <w:rFonts w:hint="default" w:cs="Times New Roman"/>
          <w:highlight w:val="none"/>
          <w:lang w:eastAsia="zh-CN"/>
        </w:rPr>
      </w:pPr>
      <w:r>
        <w:rPr>
          <w:rFonts w:hint="eastAsia" w:cs="Times New Roman"/>
          <w:highlight w:val="none"/>
          <w:lang w:val="en-US" w:eastAsia="zh-CN"/>
        </w:rPr>
        <w:t>7.1.10</w:t>
      </w:r>
      <w:r>
        <w:rPr>
          <w:rFonts w:hint="eastAsia" w:cs="Times New Roman"/>
          <w:highlight w:val="none"/>
          <w:lang w:eastAsia="zh-CN"/>
        </w:rPr>
        <w:t>）甲方有权对乙方在施工中出现的不符合设计图纸、违反施工规范和安全操作规程、材料浪费、破坏其他工种既有成品等违规行为强行制止，并要求乙方在规定时间内按要求整改，同时有权根据具体情况对乙方进行扣款处理；</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630" w:firstLineChars="300"/>
        <w:jc w:val="both"/>
        <w:textAlignment w:val="auto"/>
        <w:outlineLvl w:val="9"/>
        <w:rPr>
          <w:rFonts w:hint="default" w:cs="Times New Roman"/>
          <w:highlight w:val="none"/>
          <w:lang w:eastAsia="zh-CN"/>
        </w:rPr>
      </w:pPr>
      <w:r>
        <w:rPr>
          <w:rFonts w:hint="eastAsia" w:cs="Times New Roman"/>
          <w:highlight w:val="none"/>
          <w:lang w:val="en-US" w:eastAsia="zh-CN"/>
        </w:rPr>
        <w:t>7.1.11</w:t>
      </w:r>
      <w:r>
        <w:rPr>
          <w:rFonts w:hint="eastAsia" w:cs="Times New Roman"/>
          <w:highlight w:val="none"/>
          <w:lang w:eastAsia="zh-CN"/>
        </w:rPr>
        <w:t>）甲方有对乙方的管理权，乙方管理人员必须坚守岗位，在施工现场组织指导工人作业；</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val="en-US" w:eastAsia="zh-CN"/>
        </w:rPr>
      </w:pPr>
      <w:r>
        <w:rPr>
          <w:rFonts w:hint="eastAsia" w:cs="Times New Roman"/>
          <w:highlight w:val="none"/>
          <w:lang w:val="en-US" w:eastAsia="zh-CN"/>
        </w:rPr>
        <w:t xml:space="preserve">  7.1.12）按本合同约定向乙方支付工程款；</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val="en-US" w:eastAsia="zh-CN"/>
        </w:rPr>
      </w:pPr>
      <w:r>
        <w:rPr>
          <w:rFonts w:hint="eastAsia" w:cs="Times New Roman"/>
          <w:highlight w:val="none"/>
          <w:lang w:val="en-US" w:eastAsia="zh-CN"/>
        </w:rPr>
        <w:t xml:space="preserve">  7.1.13）及时对工程进度、工程质量、安全进行监督检查，组织工程验收；</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ascii="宋体" w:hAnsi="宋体" w:eastAsia="宋体" w:cs="宋体"/>
          <w:highlight w:val="none"/>
          <w:lang w:val="en-US" w:eastAsia="zh-CN"/>
        </w:rPr>
      </w:pPr>
      <w:r>
        <w:rPr>
          <w:rFonts w:hint="eastAsia" w:cs="Times New Roman"/>
          <w:highlight w:val="none"/>
          <w:lang w:val="en-US" w:eastAsia="zh-CN"/>
        </w:rPr>
        <w:t xml:space="preserve">  7.1.14）</w:t>
      </w:r>
      <w:r>
        <w:rPr>
          <w:rFonts w:hint="eastAsia" w:ascii="宋体" w:hAnsi="宋体" w:eastAsia="宋体" w:cs="宋体"/>
          <w:highlight w:val="none"/>
          <w:lang w:val="en-US" w:eastAsia="zh-CN"/>
        </w:rPr>
        <w:t>对乙方提交的措施方案、各类报表、验收资料、技术资料进行批复或提出修改意见；</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eastAsia="zh-CN"/>
        </w:rPr>
      </w:pPr>
      <w:r>
        <w:rPr>
          <w:rFonts w:hint="eastAsia" w:ascii="宋体" w:hAnsi="宋体" w:eastAsia="宋体" w:cs="宋体"/>
          <w:highlight w:val="none"/>
          <w:lang w:val="en-US" w:eastAsia="zh-CN"/>
        </w:rPr>
        <w:t xml:space="preserve"> </w:t>
      </w:r>
      <w:r>
        <w:rPr>
          <w:rFonts w:hint="eastAsia" w:cs="Times New Roman"/>
          <w:highlight w:val="none"/>
          <w:lang w:val="en-US" w:eastAsia="zh-CN"/>
        </w:rPr>
        <w:t xml:space="preserve"> 7.1.15）协调乙方与建设单位、监理单位的关系。</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eastAsia="zh-CN"/>
        </w:rPr>
      </w:pPr>
      <w:r>
        <w:rPr>
          <w:rFonts w:hint="eastAsia" w:cs="Times New Roman"/>
          <w:highlight w:val="none"/>
          <w:lang w:val="en-US" w:eastAsia="zh-CN"/>
        </w:rPr>
        <w:t>7.</w:t>
      </w:r>
      <w:r>
        <w:rPr>
          <w:rFonts w:hint="eastAsia" w:cs="Times New Roman"/>
          <w:highlight w:val="none"/>
          <w:lang w:eastAsia="zh-CN"/>
        </w:rPr>
        <w:t>2乙方责任和权利</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cs="Times New Roman"/>
          <w:highlight w:val="none"/>
          <w:lang w:eastAsia="zh-CN"/>
        </w:rPr>
      </w:pPr>
      <w:r>
        <w:rPr>
          <w:rFonts w:hint="default" w:cs="Times New Roman"/>
          <w:highlight w:val="none"/>
          <w:lang w:eastAsia="zh-CN"/>
        </w:rPr>
        <w:t>7.2.</w:t>
      </w:r>
      <w:r>
        <w:rPr>
          <w:rFonts w:hint="eastAsia" w:cs="Times New Roman"/>
          <w:highlight w:val="none"/>
          <w:lang w:eastAsia="zh-CN"/>
        </w:rPr>
        <w:t>1本工程施工过程如出现赶工、交叉作业、停工及工人工资、材料费、机具费上涨等风险，由此引起的费用增减已由甲方提前根据本合同应支付给乙方施工报酬中作一次性考虑，乙方不得就上述原因要求甲方对</w:t>
      </w:r>
      <w:r>
        <w:rPr>
          <w:rFonts w:hint="eastAsia" w:cs="Times New Roman"/>
          <w:highlight w:val="none"/>
          <w:lang w:val="en-US" w:eastAsia="zh-CN"/>
        </w:rPr>
        <w:t>合同单价</w:t>
      </w:r>
      <w:r>
        <w:rPr>
          <w:rFonts w:hint="eastAsia" w:cs="Times New Roman"/>
          <w:highlight w:val="none"/>
          <w:lang w:eastAsia="zh-CN"/>
        </w:rPr>
        <w:t>作相应调整；</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cs="Times New Roman"/>
          <w:highlight w:val="none"/>
          <w:lang w:eastAsia="zh-CN"/>
        </w:rPr>
      </w:pPr>
      <w:r>
        <w:rPr>
          <w:rFonts w:hint="eastAsia" w:cs="Times New Roman"/>
          <w:highlight w:val="none"/>
          <w:lang w:val="en-US" w:eastAsia="zh-CN"/>
        </w:rPr>
        <w:t>7.2.</w:t>
      </w:r>
      <w:r>
        <w:rPr>
          <w:rFonts w:hint="eastAsia" w:cs="Times New Roman"/>
          <w:highlight w:val="none"/>
          <w:lang w:eastAsia="zh-CN"/>
        </w:rPr>
        <w:t>2凡是有变更的，乙方必须无条件配合甲方完成并满足相关要求。凡变更工程必须附有甲方、建设单位的书面依据，方可纳入结算范围，计价按合同原则执行；</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default" w:cs="Times New Roman"/>
          <w:highlight w:val="none"/>
          <w:lang w:eastAsia="zh-CN"/>
        </w:rPr>
      </w:pPr>
      <w:r>
        <w:rPr>
          <w:rFonts w:hint="eastAsia" w:cs="Times New Roman"/>
          <w:highlight w:val="none"/>
          <w:lang w:val="en-US" w:eastAsia="zh-CN"/>
        </w:rPr>
        <w:t>7.2.</w:t>
      </w:r>
      <w:r>
        <w:rPr>
          <w:rFonts w:hint="eastAsia" w:cs="Times New Roman"/>
          <w:highlight w:val="none"/>
          <w:lang w:eastAsia="zh-CN"/>
        </w:rPr>
        <w:t>3乙方必须无条件配合甲方进度上施工安排，如甲方需加快进度，乙方须配合增加机械、材料及人员数量，进行夜间施工等工作，以满足甲方施工进度要求，乙方明显不能按合同履行职责时，甲方有权终止本合同，按验收合格工程量的50%结算并限时退场；</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default" w:cs="Times New Roman"/>
          <w:highlight w:val="none"/>
          <w:lang w:eastAsia="zh-CN"/>
        </w:rPr>
      </w:pPr>
      <w:r>
        <w:rPr>
          <w:rFonts w:hint="eastAsia" w:cs="Times New Roman"/>
          <w:highlight w:val="none"/>
          <w:lang w:val="en-US" w:eastAsia="zh-CN"/>
        </w:rPr>
        <w:t>7.2.</w:t>
      </w:r>
      <w:r>
        <w:rPr>
          <w:rFonts w:hint="eastAsia" w:cs="Times New Roman"/>
          <w:highlight w:val="none"/>
          <w:lang w:eastAsia="zh-CN"/>
        </w:rPr>
        <w:t>4乙方必须服从甲方管理及监理单位现场管理。对违反规范事宜，甲方有权对乙方进行处罚及要求乙方整改，乙方拒不整改或多次整改后仍不能满足规范要求，甲方有权单方面终止本合作关系。并按乙方已验收合格工程量的50%给乙方结算，并限时退场；</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default" w:cs="Times New Roman"/>
          <w:highlight w:val="none"/>
          <w:lang w:eastAsia="zh-CN"/>
        </w:rPr>
      </w:pPr>
      <w:r>
        <w:rPr>
          <w:rFonts w:hint="eastAsia" w:cs="Times New Roman"/>
          <w:highlight w:val="none"/>
          <w:lang w:val="en-US" w:eastAsia="zh-CN"/>
        </w:rPr>
        <w:t>7.2.</w:t>
      </w:r>
      <w:r>
        <w:rPr>
          <w:rFonts w:hint="eastAsia" w:cs="Times New Roman"/>
          <w:highlight w:val="none"/>
          <w:lang w:eastAsia="zh-CN"/>
        </w:rPr>
        <w:t>5乙方必须为其人员购买本工程社会保险及人身意外伤害保险，凡在合同履行期间所发生的一切安全事故由乙方承担所有责任和费用，甲方不承担任何责任和费用；</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default" w:cs="Times New Roman"/>
          <w:highlight w:val="none"/>
          <w:lang w:eastAsia="zh-CN"/>
        </w:rPr>
      </w:pPr>
      <w:r>
        <w:rPr>
          <w:rFonts w:hint="eastAsia" w:cs="Times New Roman"/>
          <w:highlight w:val="none"/>
          <w:lang w:val="en-US" w:eastAsia="zh-CN"/>
        </w:rPr>
        <w:t>7.2.</w:t>
      </w:r>
      <w:r>
        <w:rPr>
          <w:rFonts w:hint="eastAsia" w:cs="Times New Roman"/>
          <w:highlight w:val="none"/>
          <w:lang w:eastAsia="zh-CN"/>
        </w:rPr>
        <w:t>6乙方必须在入户门材料进场后，同时提供承包本工程所需且具备的所有资料证明（包括但不限于营业执照、资质证书、检测报告、产品合格证、</w:t>
      </w:r>
      <w:r>
        <w:rPr>
          <w:rFonts w:hint="eastAsia" w:cs="Times New Roman"/>
          <w:highlight w:val="none"/>
          <w:lang w:val="en-US" w:eastAsia="zh-CN"/>
        </w:rPr>
        <w:t>供货证明</w:t>
      </w:r>
      <w:r>
        <w:rPr>
          <w:rFonts w:hint="eastAsia" w:cs="Times New Roman"/>
          <w:highlight w:val="none"/>
          <w:lang w:eastAsia="zh-CN"/>
        </w:rPr>
        <w:t>等资料），乙方必须在甲方要求的时间内</w:t>
      </w:r>
      <w:r>
        <w:rPr>
          <w:rFonts w:hint="eastAsia" w:cs="Times New Roman"/>
          <w:highlight w:val="none"/>
          <w:lang w:val="en-US" w:eastAsia="zh-CN"/>
        </w:rPr>
        <w:t>提供齐全当地政府主管部门验收要求所需要的全部资料，</w:t>
      </w:r>
      <w:r>
        <w:rPr>
          <w:rFonts w:hint="eastAsia" w:cs="Times New Roman"/>
          <w:highlight w:val="none"/>
          <w:lang w:eastAsia="zh-CN"/>
        </w:rPr>
        <w:t>乙方必须无条件及时提供并保证一次性通过消防验收；因乙方原因导致消防验收不能一次性通过的，产生的责任和一切经济损失由乙方承担；</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default" w:cs="Times New Roman"/>
          <w:highlight w:val="none"/>
          <w:lang w:eastAsia="zh-CN"/>
        </w:rPr>
      </w:pPr>
      <w:r>
        <w:rPr>
          <w:rFonts w:hint="eastAsia" w:cs="Times New Roman"/>
          <w:highlight w:val="none"/>
          <w:lang w:val="en-US" w:eastAsia="zh-CN"/>
        </w:rPr>
        <w:t>7.2.</w:t>
      </w:r>
      <w:r>
        <w:rPr>
          <w:rFonts w:hint="eastAsia" w:cs="Times New Roman"/>
          <w:highlight w:val="none"/>
          <w:lang w:eastAsia="zh-CN"/>
        </w:rPr>
        <w:t>7严格遵从甲方在执行工程管理的过程中根据合同发出的指令，保证施工安全质量，对工程的进度、安全、质量等承担责任；</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default" w:cs="Times New Roman"/>
          <w:highlight w:val="none"/>
          <w:lang w:eastAsia="zh-CN"/>
        </w:rPr>
      </w:pPr>
      <w:r>
        <w:rPr>
          <w:rFonts w:hint="eastAsia" w:cs="Times New Roman"/>
          <w:highlight w:val="none"/>
          <w:lang w:val="en-US" w:eastAsia="zh-CN"/>
        </w:rPr>
        <w:t>7.2.8</w:t>
      </w:r>
      <w:r>
        <w:rPr>
          <w:rFonts w:hint="eastAsia" w:cs="Times New Roman"/>
          <w:highlight w:val="none"/>
          <w:lang w:eastAsia="zh-CN"/>
        </w:rPr>
        <w:t>加强班组建设。乙方管理人员经常对工人进行技术交底、安全教育，作业人员必须持证上岗。乙方管理人员必须坚守岗位，特殊情况需离开工地，需经甲方项目部批准后方能离开；</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default" w:cs="Times New Roman"/>
          <w:highlight w:val="none"/>
          <w:lang w:eastAsia="zh-CN"/>
        </w:rPr>
      </w:pPr>
      <w:r>
        <w:rPr>
          <w:rFonts w:hint="eastAsia" w:cs="Times New Roman"/>
          <w:highlight w:val="none"/>
          <w:lang w:val="en-US" w:eastAsia="zh-CN"/>
        </w:rPr>
        <w:t>7.2.9</w:t>
      </w:r>
      <w:r>
        <w:rPr>
          <w:rFonts w:hint="eastAsia" w:cs="Times New Roman"/>
          <w:highlight w:val="none"/>
          <w:lang w:eastAsia="zh-CN"/>
        </w:rPr>
        <w:t>施工中与其他劳务队积极配合。保护所有成品；</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eastAsia="zh-CN"/>
        </w:rPr>
      </w:pPr>
      <w:r>
        <w:rPr>
          <w:rFonts w:hint="eastAsia" w:cs="Times New Roman"/>
          <w:highlight w:val="none"/>
          <w:lang w:val="en-US" w:eastAsia="zh-CN"/>
        </w:rPr>
        <w:t>7.2.10</w:t>
      </w:r>
      <w:r>
        <w:rPr>
          <w:rFonts w:hint="eastAsia" w:cs="Times New Roman"/>
          <w:highlight w:val="none"/>
          <w:lang w:eastAsia="zh-CN"/>
        </w:rPr>
        <w:t>乙方须按入户门施工规范和行业标准、施工方案施工图纸等制作，并自费运至工地进行安装，安装质量必须达到验收规范的优良要求；</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eastAsia="zh-CN"/>
        </w:rPr>
      </w:pPr>
      <w:r>
        <w:rPr>
          <w:rFonts w:hint="eastAsia" w:cs="Times New Roman"/>
          <w:highlight w:val="none"/>
          <w:lang w:val="en-US" w:eastAsia="zh-CN"/>
        </w:rPr>
        <w:t>7.2.11</w:t>
      </w:r>
      <w:r>
        <w:rPr>
          <w:rFonts w:hint="eastAsia" w:cs="Times New Roman"/>
          <w:highlight w:val="none"/>
          <w:lang w:eastAsia="zh-CN"/>
        </w:rPr>
        <w:t>乙方施工过程中，必须进行质量检查，并提供书面记录（同时在相应的检查部位，现场作好标记）；然后由施工员复查，在现场检测点作标记的同时，作好书面记录；再通知公司质安组核查，坚决严格执行三级检查制度，三级检查的书面记录经整理后都作为工程进度款申请书、结算书的附件。无班组检查记录和施工员检查记录以及施工员出具的整改完成证明书，按合同单价下浮5%；如果质量问题未得到有效整改的，甲方有权立即解除合同，乙方立即退场，已完工工程不予结算；</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eastAsia="zh-CN"/>
        </w:rPr>
      </w:pPr>
      <w:r>
        <w:rPr>
          <w:rFonts w:hint="eastAsia" w:cs="Times New Roman"/>
          <w:highlight w:val="none"/>
          <w:lang w:val="en-US" w:eastAsia="zh-CN"/>
        </w:rPr>
        <w:t>7.2.12</w:t>
      </w:r>
      <w:r>
        <w:rPr>
          <w:rFonts w:hint="eastAsia" w:cs="Times New Roman"/>
          <w:highlight w:val="none"/>
          <w:lang w:eastAsia="zh-CN"/>
        </w:rPr>
        <w:t>乙方对安好的入户门做好保护，每完成一道工序后，经甲方施工员检查符合要求后。由甲方安排其它施工单位进行抹灰装修，如因抹灰、装修施工造成框架变形、门配件损坏、门破损需乙方处理，处理费用由责任方承担；</w:t>
      </w:r>
    </w:p>
    <w:p>
      <w:pPr>
        <w:keepNext w:val="0"/>
        <w:keepLines w:val="0"/>
        <w:pageBreakBefore w:val="0"/>
        <w:widowControl w:val="0"/>
        <w:kinsoku/>
        <w:wordWrap/>
        <w:overflowPunct/>
        <w:topLinePunct w:val="0"/>
        <w:autoSpaceDE/>
        <w:autoSpaceDN/>
        <w:bidi w:val="0"/>
        <w:adjustRightInd/>
        <w:snapToGrid/>
        <w:spacing w:line="310" w:lineRule="exact"/>
        <w:ind w:left="0" w:leftChars="0" w:right="0" w:rightChars="0" w:firstLine="420" w:firstLineChars="0"/>
        <w:jc w:val="both"/>
        <w:textAlignment w:val="auto"/>
        <w:outlineLvl w:val="9"/>
        <w:rPr>
          <w:rFonts w:hint="eastAsia" w:cs="Times New Roman"/>
          <w:highlight w:val="none"/>
          <w:lang w:eastAsia="zh-CN"/>
        </w:rPr>
      </w:pPr>
      <w:r>
        <w:rPr>
          <w:rFonts w:hint="eastAsia" w:cs="Times New Roman"/>
          <w:highlight w:val="none"/>
          <w:lang w:val="en-US" w:eastAsia="zh-CN"/>
        </w:rPr>
        <w:t>7.2.13</w:t>
      </w:r>
      <w:r>
        <w:rPr>
          <w:rFonts w:hint="eastAsia" w:cs="Times New Roman"/>
          <w:highlight w:val="none"/>
          <w:lang w:eastAsia="zh-CN"/>
        </w:rPr>
        <w:t>乙方不得将本工程分包或转包，</w:t>
      </w:r>
      <w:r>
        <w:rPr>
          <w:rFonts w:hint="eastAsia" w:cs="Times New Roman"/>
          <w:highlight w:val="none"/>
          <w:lang w:val="en-US" w:eastAsia="zh-CN"/>
        </w:rPr>
        <w:t>否则甲方有权单方解除合同且乙方返还所有已收款给甲方</w:t>
      </w:r>
      <w:r>
        <w:rPr>
          <w:rFonts w:hint="eastAsia" w:cs="Times New Roman"/>
          <w:highlight w:val="none"/>
          <w:lang w:eastAsia="zh-CN"/>
        </w:rPr>
        <w:t>；</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highlight w:val="none"/>
          <w:lang w:eastAsia="zh-CN"/>
        </w:rPr>
      </w:pPr>
      <w:r>
        <w:rPr>
          <w:rFonts w:hint="eastAsia" w:cs="Times New Roman"/>
          <w:highlight w:val="none"/>
          <w:lang w:val="en-US" w:eastAsia="zh-CN"/>
        </w:rPr>
        <w:t>7.2.14</w:t>
      </w:r>
      <w:r>
        <w:rPr>
          <w:rFonts w:hint="eastAsia" w:cs="Times New Roman"/>
          <w:highlight w:val="none"/>
          <w:lang w:eastAsia="zh-CN"/>
        </w:rPr>
        <w:t>如</w:t>
      </w:r>
      <w:r>
        <w:rPr>
          <w:rFonts w:hint="eastAsia"/>
          <w:highlight w:val="none"/>
          <w:lang w:eastAsia="zh-CN"/>
        </w:rPr>
        <w:t>因乙方的材料及施工质量问题引起的返工、维修、更换、损失及工期等造成的一切费用由乙方承担；</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ascii="宋体" w:hAnsi="宋体" w:eastAsia="宋体" w:cs="宋体"/>
          <w:highlight w:val="none"/>
          <w:lang w:val="en-US" w:eastAsia="zh-CN"/>
        </w:rPr>
      </w:pPr>
      <w:r>
        <w:rPr>
          <w:rFonts w:hint="eastAsia" w:cs="Times New Roman"/>
          <w:highlight w:val="none"/>
          <w:lang w:val="en-US" w:eastAsia="zh-CN"/>
        </w:rPr>
        <w:t>7.2.15乙方在</w:t>
      </w:r>
      <w:r>
        <w:rPr>
          <w:rFonts w:hint="eastAsia" w:ascii="宋体" w:hAnsi="宋体" w:eastAsia="宋体" w:cs="宋体"/>
          <w:highlight w:val="none"/>
          <w:lang w:val="en-US" w:eastAsia="zh-CN"/>
        </w:rPr>
        <w:t>施工过程中，每批次进场的材料必须经甲方现场管理人员（或施工员）确认，该批次的材料是否符合工程项目所需的材料，如不符合，一律不准进入施工现场，如有违反，则责任自负</w:t>
      </w:r>
      <w:r>
        <w:rPr>
          <w:rFonts w:hint="eastAsia" w:ascii="宋体" w:hAnsi="宋体" w:cs="宋体"/>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ascii="宋体" w:hAnsi="宋体" w:cs="宋体"/>
          <w:highlight w:val="none"/>
          <w:lang w:val="en-US" w:eastAsia="zh-CN"/>
        </w:rPr>
      </w:pPr>
      <w:r>
        <w:rPr>
          <w:rFonts w:hint="eastAsia" w:cs="Times New Roman"/>
          <w:highlight w:val="none"/>
          <w:lang w:val="en-US" w:eastAsia="zh-CN"/>
        </w:rPr>
        <w:t>7.2.16乙方确</w:t>
      </w:r>
      <w:r>
        <w:rPr>
          <w:rFonts w:hint="eastAsia" w:ascii="宋体" w:hAnsi="宋体" w:cs="宋体"/>
          <w:highlight w:val="none"/>
          <w:lang w:val="en-US" w:eastAsia="zh-CN"/>
        </w:rPr>
        <w:t>保本工程的工程质量和工程进度一次性满足合同要求，否则造成的一切损失由乙方承担；</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ascii="宋体" w:hAnsi="宋体" w:cs="宋体"/>
          <w:highlight w:val="none"/>
          <w:lang w:val="en-US" w:eastAsia="zh-CN"/>
        </w:rPr>
      </w:pPr>
      <w:r>
        <w:rPr>
          <w:rFonts w:hint="eastAsia" w:cs="Times New Roman"/>
          <w:highlight w:val="none"/>
          <w:lang w:val="en-US" w:eastAsia="zh-CN"/>
        </w:rPr>
        <w:t>7.2.17乙方已充分</w:t>
      </w:r>
      <w:r>
        <w:rPr>
          <w:rFonts w:hint="eastAsia" w:ascii="宋体" w:hAnsi="宋体" w:cs="宋体"/>
          <w:highlight w:val="none"/>
          <w:lang w:val="en-US" w:eastAsia="zh-CN"/>
        </w:rPr>
        <w:t>了解工程现场实际情况，确定合同单价包含处理现场各种因素所产生多次进退场、怠工、误工等不能正常开工情况的费用。</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ascii="宋体" w:hAnsi="宋体" w:cs="宋体"/>
          <w:highlight w:val="none"/>
          <w:lang w:val="en-US" w:eastAsia="zh-CN"/>
        </w:rPr>
      </w:pPr>
      <w:r>
        <w:rPr>
          <w:rFonts w:hint="eastAsia" w:cs="Times New Roman"/>
          <w:highlight w:val="none"/>
          <w:lang w:val="en-US" w:eastAsia="zh-CN"/>
        </w:rPr>
        <w:t>7.2.18乙</w:t>
      </w:r>
      <w:r>
        <w:rPr>
          <w:rFonts w:hint="eastAsia" w:ascii="宋体" w:hAnsi="宋体" w:cs="宋体"/>
          <w:highlight w:val="none"/>
          <w:lang w:val="en-US" w:eastAsia="zh-CN"/>
        </w:rPr>
        <w:t>方需对甲方提供的工作面是否满足其要求提出意见</w:t>
      </w:r>
      <w:r>
        <w:rPr>
          <w:rFonts w:hint="eastAsia" w:ascii="宋体" w:hAnsi="宋体" w:cs="宋体"/>
          <w:highlight w:val="none"/>
          <w:u w:val="none"/>
          <w:lang w:val="en-US" w:eastAsia="zh-CN"/>
        </w:rPr>
        <w:t>，否</w:t>
      </w:r>
      <w:r>
        <w:rPr>
          <w:rFonts w:hint="eastAsia" w:ascii="宋体" w:hAnsi="宋体" w:cs="宋体"/>
          <w:highlight w:val="none"/>
          <w:lang w:val="en-US" w:eastAsia="zh-CN"/>
        </w:rPr>
        <w:t>则，视为甲方提供的工作面满足其要求。</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ascii="宋体" w:hAnsi="宋体" w:cs="宋体"/>
          <w:highlight w:val="none"/>
          <w:lang w:val="en-US" w:eastAsia="zh-CN"/>
        </w:rPr>
      </w:pPr>
      <w:r>
        <w:rPr>
          <w:rFonts w:hint="eastAsia" w:cs="Times New Roman"/>
          <w:highlight w:val="none"/>
          <w:lang w:val="en-US" w:eastAsia="zh-CN"/>
        </w:rPr>
        <w:t>7.2.19</w:t>
      </w:r>
      <w:r>
        <w:rPr>
          <w:rFonts w:hint="eastAsia" w:ascii="宋体" w:hAnsi="宋体" w:cs="宋体"/>
          <w:highlight w:val="none"/>
          <w:lang w:val="en-US" w:eastAsia="zh-CN"/>
        </w:rPr>
        <w:t>乙方人员进场时须提供本工程所在地三甲医院出具的体检健康证明，否则甲方有权将无证人员驱逐出施工现场，且乙方须向甲方缴纳违约金每人每次200元。无论乙方是否提供该证明，乙方人员须身体健康，无妨碍从事工作的疾病和生理缺陷，符合进场及该工种的操作要求。因乙方人员自身疾病或生理缺陷等原因导致的伤亡均由乙方自行承担全责，甲方无需承担责任及赔偿任何费用。</w:t>
      </w:r>
    </w:p>
    <w:p>
      <w:pPr>
        <w:keepNext w:val="0"/>
        <w:keepLines w:val="0"/>
        <w:pageBreakBefore w:val="0"/>
        <w:widowControl w:val="0"/>
        <w:kinsoku/>
        <w:wordWrap/>
        <w:overflowPunct/>
        <w:topLinePunct w:val="0"/>
        <w:autoSpaceDE/>
        <w:autoSpaceDN/>
        <w:bidi w:val="0"/>
        <w:adjustRightInd/>
        <w:snapToGrid/>
        <w:spacing w:line="310" w:lineRule="exact"/>
        <w:ind w:right="0" w:rightChars="0" w:firstLine="420" w:firstLineChars="200"/>
        <w:jc w:val="both"/>
        <w:textAlignment w:val="auto"/>
        <w:outlineLvl w:val="9"/>
        <w:rPr>
          <w:rFonts w:hint="eastAsia" w:ascii="Times New Roman" w:hAnsi="Times New Roman" w:eastAsia="宋体" w:cs="Times New Roman"/>
          <w:highlight w:val="none"/>
          <w:lang w:val="en-US" w:eastAsia="zh-CN"/>
        </w:rPr>
      </w:pPr>
      <w:r>
        <w:rPr>
          <w:rFonts w:hint="default" w:cs="Times New Roman"/>
          <w:highlight w:val="none"/>
          <w:lang w:eastAsia="zh-CN"/>
        </w:rPr>
        <w:t>7.2.20</w:t>
      </w:r>
      <w:r>
        <w:rPr>
          <w:rFonts w:hint="eastAsia" w:ascii="Times New Roman" w:hAnsi="Times New Roman" w:eastAsia="宋体" w:cs="Times New Roman"/>
          <w:highlight w:val="none"/>
          <w:lang w:val="en-US" w:eastAsia="zh-CN"/>
        </w:rPr>
        <w:t>乙方须如实向甲方提供《工人名单表》，全部施工人员上、下班必须打卡，打卡文件作为工人工资申请的依据，严格按照打卡工人名单申报工人工资。</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7.2.2</w:t>
      </w:r>
      <w:r>
        <w:rPr>
          <w:rFonts w:hint="default" w:cs="Times New Roman"/>
          <w:highlight w:val="none"/>
          <w:lang w:eastAsia="zh-CN"/>
        </w:rPr>
        <w:t>1</w:t>
      </w:r>
      <w:r>
        <w:rPr>
          <w:rFonts w:hint="eastAsia" w:cs="Times New Roman"/>
          <w:highlight w:val="none"/>
          <w:lang w:val="en-US" w:eastAsia="zh-CN"/>
        </w:rPr>
        <w:t>乙方须在甲方的监督下办理工人工资发放专户，由银行统一代发工人工资。</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7.2.2</w:t>
      </w:r>
      <w:r>
        <w:rPr>
          <w:rFonts w:hint="default" w:cs="Times New Roman"/>
          <w:highlight w:val="none"/>
          <w:lang w:eastAsia="zh-CN"/>
        </w:rPr>
        <w:t>2</w:t>
      </w:r>
      <w:r>
        <w:rPr>
          <w:rFonts w:hint="eastAsia" w:cs="Times New Roman"/>
          <w:highlight w:val="none"/>
          <w:lang w:val="en-US" w:eastAsia="zh-CN"/>
        </w:rPr>
        <w:t>乙方在任意一期工程进场开工之日三天前，须向甲方提交所有进场人员（包括但不限于施工人员）花名册、身份证复印件及联系电话、乙方与进场人员签订的劳动合同（加盖乙方公章），否则甲方有权按逾期天数认定乙方延迟开工计收违约金。姓名不在花名册内或未提供身份证复印件及联系电话、乙方与进场人员签订的劳动合同给甲方的人员，不得进入施工现场，如有发现，乙方向甲方支付违约金贰仟元/人/次。乙方人员花名册如有更新，须在3天内补充新进人员身份证复印件及联系电话、乙方与进场人员签订的劳动合同给甲方；乙方须提供与人员花名册一致的班组工人工资表原件及复印件，且工人工资表金额要与当期支付的工人工资一致。乙方人员每天进场必须进行考勤打卡，且考勤打卡记录须与提供的花名册相符。乙方人员退场时，须提交工资结清证明（加盖乙方公章）给甲方留存，否则甲方有权不予办理结算和支付工程款。</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7.2.2</w:t>
      </w:r>
      <w:r>
        <w:rPr>
          <w:rFonts w:hint="default" w:cs="Times New Roman"/>
          <w:highlight w:val="none"/>
          <w:lang w:eastAsia="zh-CN"/>
        </w:rPr>
        <w:t>3</w:t>
      </w:r>
      <w:r>
        <w:rPr>
          <w:rFonts w:hint="eastAsia" w:cs="Times New Roman"/>
          <w:highlight w:val="none"/>
          <w:lang w:val="en-US" w:eastAsia="zh-CN"/>
        </w:rPr>
        <w:t>春节前三个月的乙方人员工资发放：乙方工资发放手续与前款要求相同，发放比例必须达到以下要求，否则甲方有权直接代乙方支付工资且乙方必须在1个月内提供同等金额的相应发票给甲方，同时乙方按甲方代付金额的两倍向甲方承担违约金（甲方可直接从任意合同款中直接扣款）：</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距离除夕六十天时，乙方支付给工人的工资不少于应付工资总额的60%，并将支付证明（加盖乙方公章）给甲方留存；距离除夕四十天时，乙方支付给工人的工资不少于应付工资的80%，并将支付证明（加盖乙方公章）给甲方留存；距离除夕十五天前（如有加班情况，则在放假离岗前），乙方必须将所有工人的全部工资付清，并将支付证明（加盖乙方公章）给甲方留存。</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7.2.2</w:t>
      </w:r>
      <w:r>
        <w:rPr>
          <w:rFonts w:hint="default" w:cs="Times New Roman"/>
          <w:highlight w:val="none"/>
          <w:lang w:eastAsia="zh-CN"/>
        </w:rPr>
        <w:t>4</w:t>
      </w:r>
      <w:r>
        <w:rPr>
          <w:rFonts w:hint="eastAsia" w:cs="Times New Roman"/>
          <w:highlight w:val="none"/>
          <w:lang w:val="en-US" w:eastAsia="zh-CN"/>
        </w:rPr>
        <w:t>乙方要如实申报及发放工人工资，甲方有权核对，如发现乙方弄虚作假，甲方暂停支付乙方工程款。</w:t>
      </w:r>
    </w:p>
    <w:p>
      <w:pPr>
        <w:keepNext w:val="0"/>
        <w:keepLines w:val="0"/>
        <w:pageBreakBefore w:val="0"/>
        <w:widowControl w:val="0"/>
        <w:kinsoku/>
        <w:wordWrap/>
        <w:overflowPunct/>
        <w:topLinePunct w:val="0"/>
        <w:autoSpaceDE/>
        <w:autoSpaceDN/>
        <w:bidi w:val="0"/>
        <w:adjustRightInd/>
        <w:snapToGrid/>
        <w:spacing w:line="310" w:lineRule="exact"/>
        <w:ind w:right="0" w:rightChars="0"/>
        <w:jc w:val="both"/>
        <w:textAlignment w:val="auto"/>
        <w:outlineLvl w:val="9"/>
        <w:rPr>
          <w:rFonts w:hint="eastAsia" w:ascii="宋体" w:hAnsi="宋体"/>
          <w:b/>
          <w:bCs/>
          <w:color w:val="000000"/>
          <w:szCs w:val="24"/>
          <w:highlight w:val="none"/>
          <w:lang w:eastAsia="zh-CN"/>
        </w:rPr>
      </w:pPr>
      <w:r>
        <w:rPr>
          <w:rFonts w:hint="eastAsia" w:ascii="宋体" w:hAnsi="宋体"/>
          <w:b/>
          <w:bCs/>
          <w:color w:val="000000"/>
          <w:szCs w:val="24"/>
          <w:highlight w:val="none"/>
          <w:lang w:eastAsia="zh-CN"/>
        </w:rPr>
        <w:t>八、材料及质量要求：</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8</w:t>
      </w:r>
      <w:r>
        <w:rPr>
          <w:rFonts w:hint="default" w:cs="Times New Roman"/>
          <w:highlight w:val="none"/>
          <w:lang w:val="en-US" w:eastAsia="zh-CN"/>
        </w:rPr>
        <w:t>.1</w:t>
      </w:r>
      <w:r>
        <w:rPr>
          <w:rFonts w:hint="eastAsia" w:cs="Times New Roman"/>
          <w:highlight w:val="none"/>
          <w:lang w:val="en-US" w:eastAsia="zh-CN"/>
        </w:rPr>
        <w:t>材料要求</w:t>
      </w:r>
    </w:p>
    <w:p>
      <w:pPr>
        <w:spacing w:line="350" w:lineRule="exact"/>
        <w:ind w:firstLine="420" w:firstLineChars="200"/>
        <w:rPr>
          <w:rFonts w:hint="eastAsia" w:cs="Times New Roman"/>
          <w:highlight w:val="yellow"/>
          <w:lang w:val="en-US" w:eastAsia="zh-CN"/>
        </w:rPr>
      </w:pPr>
      <w:r>
        <w:rPr>
          <w:rFonts w:hint="eastAsia" w:cs="Times New Roman"/>
          <w:highlight w:val="yellow"/>
          <w:lang w:val="en-US" w:eastAsia="zh-CN"/>
        </w:rPr>
        <w:t>8</w:t>
      </w:r>
      <w:r>
        <w:rPr>
          <w:rFonts w:hint="default" w:cs="Times New Roman"/>
          <w:highlight w:val="yellow"/>
          <w:lang w:val="en-US" w:eastAsia="zh-CN"/>
        </w:rPr>
        <w:t>.1.1</w:t>
      </w:r>
      <w:r>
        <w:rPr>
          <w:rFonts w:hint="eastAsia" w:cs="Times New Roman"/>
          <w:highlight w:val="yellow"/>
          <w:lang w:val="en-US" w:eastAsia="zh-CN"/>
        </w:rPr>
        <w:t>钢质入户门</w:t>
      </w:r>
    </w:p>
    <w:p>
      <w:pPr>
        <w:spacing w:line="350" w:lineRule="exact"/>
        <w:ind w:firstLine="420" w:firstLineChars="200"/>
        <w:rPr>
          <w:rFonts w:hint="eastAsia" w:ascii="宋体" w:hAnsi="宋体" w:cs="宋体"/>
          <w:sz w:val="21"/>
          <w:szCs w:val="21"/>
          <w:highlight w:val="yellow"/>
          <w:lang w:eastAsia="zh-CN"/>
        </w:rPr>
      </w:pPr>
      <w:r>
        <w:rPr>
          <w:rFonts w:hint="eastAsia" w:cs="Times New Roman"/>
          <w:highlight w:val="yellow"/>
          <w:lang w:val="en-US" w:eastAsia="zh-CN"/>
        </w:rPr>
        <w:t>本工程入户门为钢</w:t>
      </w:r>
      <w:r>
        <w:rPr>
          <w:rFonts w:hint="eastAsia" w:ascii="宋体" w:hAnsi="宋体" w:cs="宋体"/>
          <w:sz w:val="21"/>
          <w:szCs w:val="21"/>
          <w:highlight w:val="yellow"/>
          <w:lang w:eastAsia="zh-CN"/>
        </w:rPr>
        <w:t>质入户门</w:t>
      </w:r>
      <w:r>
        <w:rPr>
          <w:rFonts w:hint="eastAsia" w:ascii="宋体" w:hAnsi="宋体" w:cs="宋体"/>
          <w:sz w:val="21"/>
          <w:szCs w:val="21"/>
          <w:highlight w:val="yellow"/>
        </w:rPr>
        <w:t>，选用材料均为门框1.2mm厚镀锌钢板</w:t>
      </w:r>
      <w:r>
        <w:rPr>
          <w:rFonts w:hint="eastAsia" w:ascii="宋体" w:hAnsi="宋体" w:cs="宋体"/>
          <w:sz w:val="21"/>
          <w:szCs w:val="21"/>
          <w:highlight w:val="yellow"/>
          <w:lang w:eastAsia="zh-CN"/>
        </w:rPr>
        <w:t>（空腔浇灌水泥砂浆）</w:t>
      </w:r>
      <w:r>
        <w:rPr>
          <w:rFonts w:hint="eastAsia" w:ascii="宋体" w:hAnsi="宋体" w:cs="宋体"/>
          <w:sz w:val="21"/>
          <w:szCs w:val="21"/>
          <w:highlight w:val="yellow"/>
        </w:rPr>
        <w:t>，门扇为0.8mm厚镀锌钢板</w:t>
      </w:r>
      <w:r>
        <w:rPr>
          <w:rFonts w:hint="eastAsia" w:ascii="宋体" w:hAnsi="宋体" w:cs="宋体"/>
          <w:sz w:val="21"/>
          <w:szCs w:val="21"/>
          <w:highlight w:val="yellow"/>
          <w:lang w:eastAsia="zh-CN"/>
        </w:rPr>
        <w:t>（空腔填泡沫板），表面热转印樱桃木纹处理，门扇正面压花造型如深化图，背面平板</w:t>
      </w:r>
      <w:r>
        <w:rPr>
          <w:rFonts w:hint="eastAsia" w:ascii="宋体" w:hAnsi="宋体" w:cs="宋体"/>
          <w:sz w:val="21"/>
          <w:szCs w:val="21"/>
          <w:highlight w:val="yellow"/>
        </w:rPr>
        <w:t>。五金配件包含</w:t>
      </w:r>
      <w:r>
        <w:rPr>
          <w:rFonts w:hint="eastAsia" w:ascii="宋体" w:hAnsi="宋体" w:cs="宋体"/>
          <w:sz w:val="21"/>
          <w:szCs w:val="21"/>
          <w:highlight w:val="yellow"/>
          <w:lang w:eastAsia="zh-CN"/>
        </w:rPr>
        <w:t>防盗锁（</w:t>
      </w:r>
      <w:r>
        <w:rPr>
          <w:rFonts w:hint="eastAsia" w:ascii="宋体" w:hAnsi="宋体" w:cs="宋体"/>
          <w:sz w:val="21"/>
          <w:szCs w:val="21"/>
          <w:highlight w:val="yellow"/>
          <w:lang w:val="en-US" w:eastAsia="zh-CN"/>
        </w:rPr>
        <w:t>（锁具含把手和把手面板造型及工艺在内，不能低于水岸华府一期标准，锁具优先选用“王力”牌），</w:t>
      </w:r>
      <w:r>
        <w:rPr>
          <w:rFonts w:hint="eastAsia" w:ascii="宋体" w:hAnsi="宋体" w:cs="宋体"/>
          <w:sz w:val="21"/>
          <w:szCs w:val="21"/>
          <w:highlight w:val="yellow"/>
          <w:lang w:eastAsia="zh-CN"/>
        </w:rPr>
        <w:t>面板</w:t>
      </w:r>
      <w:r>
        <w:rPr>
          <w:rFonts w:hint="eastAsia" w:ascii="宋体" w:hAnsi="宋体" w:cs="宋体"/>
          <w:sz w:val="21"/>
          <w:szCs w:val="21"/>
          <w:highlight w:val="yellow"/>
          <w:lang w:val="en-US" w:eastAsia="zh-CN"/>
        </w:rPr>
        <w:t>1.5mm厚，304不锈钢材质，锁体重600g以上，锁芯为铜芯，安全等级为B级</w:t>
      </w:r>
      <w:r>
        <w:rPr>
          <w:rFonts w:hint="eastAsia" w:ascii="宋体" w:hAnsi="宋体" w:cs="宋体"/>
          <w:sz w:val="21"/>
          <w:szCs w:val="21"/>
          <w:highlight w:val="yellow"/>
          <w:lang w:eastAsia="zh-CN"/>
        </w:rPr>
        <w:t>）</w:t>
      </w:r>
      <w:r>
        <w:rPr>
          <w:rFonts w:hint="eastAsia" w:ascii="宋体" w:hAnsi="宋体" w:cs="宋体"/>
          <w:sz w:val="21"/>
          <w:szCs w:val="21"/>
          <w:highlight w:val="yellow"/>
        </w:rPr>
        <w:t>，</w:t>
      </w:r>
      <w:r>
        <w:rPr>
          <w:rFonts w:hint="eastAsia" w:ascii="宋体" w:hAnsi="宋体" w:cs="宋体"/>
          <w:sz w:val="21"/>
          <w:szCs w:val="21"/>
          <w:highlight w:val="yellow"/>
          <w:lang w:val="en-US" w:eastAsia="zh-CN"/>
        </w:rPr>
        <w:t>5寸*3厚304不锈钢合页及猫眼</w:t>
      </w:r>
      <w:r>
        <w:rPr>
          <w:rFonts w:hint="eastAsia" w:ascii="宋体" w:hAnsi="宋体" w:cs="宋体"/>
          <w:sz w:val="21"/>
          <w:szCs w:val="21"/>
          <w:highlight w:val="yellow"/>
        </w:rPr>
        <w:t>。凡五金配件，均要求为优质合格品牌，并提供五金配件样板给</w:t>
      </w:r>
      <w:r>
        <w:rPr>
          <w:rFonts w:hint="eastAsia" w:ascii="宋体" w:hAnsi="宋体" w:cs="宋体"/>
          <w:sz w:val="21"/>
          <w:szCs w:val="21"/>
          <w:highlight w:val="yellow"/>
          <w:lang w:eastAsia="zh-CN"/>
        </w:rPr>
        <w:t>甲方</w:t>
      </w:r>
      <w:r>
        <w:rPr>
          <w:rFonts w:hint="eastAsia" w:ascii="宋体" w:hAnsi="宋体" w:cs="宋体"/>
          <w:sz w:val="21"/>
          <w:szCs w:val="21"/>
          <w:highlight w:val="yellow"/>
        </w:rPr>
        <w:t>确认</w:t>
      </w:r>
      <w:r>
        <w:rPr>
          <w:rFonts w:hint="eastAsia" w:ascii="宋体" w:hAnsi="宋体" w:cs="宋体"/>
          <w:sz w:val="21"/>
          <w:szCs w:val="21"/>
          <w:highlight w:val="yellow"/>
          <w:lang w:eastAsia="zh-CN"/>
        </w:rPr>
        <w:t>。</w:t>
      </w:r>
      <w:r>
        <w:rPr>
          <w:rFonts w:hint="eastAsia" w:ascii="宋体" w:hAnsi="宋体" w:cs="宋体"/>
          <w:sz w:val="21"/>
          <w:szCs w:val="21"/>
          <w:highlight w:val="yellow"/>
        </w:rPr>
        <w:t>具体做法详见</w:t>
      </w:r>
      <w:r>
        <w:rPr>
          <w:rFonts w:hint="eastAsia" w:ascii="宋体" w:hAnsi="宋体" w:cs="宋体"/>
          <w:sz w:val="21"/>
          <w:szCs w:val="21"/>
          <w:highlight w:val="yellow"/>
          <w:lang w:eastAsia="zh-CN"/>
        </w:rPr>
        <w:t>深化图。大批量制作前应先提交样板给甲方确认后方可施工。</w:t>
      </w:r>
    </w:p>
    <w:p>
      <w:pPr>
        <w:spacing w:line="350" w:lineRule="exact"/>
        <w:ind w:firstLine="420" w:firstLineChars="200"/>
        <w:rPr>
          <w:rFonts w:hint="eastAsia" w:cs="Times New Roman"/>
          <w:highlight w:val="yellow"/>
          <w:lang w:val="en-US" w:eastAsia="zh-CN"/>
        </w:rPr>
      </w:pPr>
      <w:r>
        <w:rPr>
          <w:rFonts w:hint="eastAsia" w:cs="Times New Roman"/>
          <w:highlight w:val="yellow"/>
          <w:lang w:val="en-US" w:eastAsia="zh-CN"/>
        </w:rPr>
        <w:t>8</w:t>
      </w:r>
      <w:r>
        <w:rPr>
          <w:rFonts w:hint="default" w:cs="Times New Roman"/>
          <w:highlight w:val="yellow"/>
          <w:lang w:val="en-US" w:eastAsia="zh-CN"/>
        </w:rPr>
        <w:t>.1.2</w:t>
      </w:r>
      <w:r>
        <w:rPr>
          <w:rFonts w:hint="eastAsia" w:cs="Times New Roman"/>
          <w:highlight w:val="yellow"/>
          <w:lang w:val="en-US" w:eastAsia="zh-CN"/>
        </w:rPr>
        <w:t>钢质入户防火门</w:t>
      </w:r>
    </w:p>
    <w:p>
      <w:pPr>
        <w:spacing w:line="350" w:lineRule="exact"/>
        <w:ind w:firstLine="420" w:firstLineChars="200"/>
        <w:rPr>
          <w:rFonts w:hint="default" w:cs="Times New Roman"/>
          <w:highlight w:val="yellow"/>
          <w:lang w:val="en-US" w:eastAsia="zh-CN"/>
        </w:rPr>
      </w:pPr>
      <w:r>
        <w:rPr>
          <w:rFonts w:hint="eastAsia" w:cs="Times New Roman"/>
          <w:highlight w:val="yellow"/>
          <w:lang w:val="en-US" w:eastAsia="zh-CN"/>
        </w:rPr>
        <w:t>本工程钢质入户防火门为乙级，选用材料均为门框1.2mm厚镀锌钢板（空腔浇灌水泥砂浆），门扇为0.8mm厚镀锌钢板（空腔填珍珠岩门芯板），表面热转印樱桃木纹处理，门扇正面压花造型如深化图，背面平板。五金配件包含防火防盗锁（</w:t>
      </w:r>
      <w:r>
        <w:rPr>
          <w:rFonts w:hint="eastAsia" w:ascii="宋体" w:hAnsi="宋体" w:cs="宋体"/>
          <w:sz w:val="21"/>
          <w:szCs w:val="21"/>
          <w:highlight w:val="yellow"/>
          <w:lang w:val="en-US" w:eastAsia="zh-CN"/>
        </w:rPr>
        <w:t>锁具优先选用“王力”牌</w:t>
      </w:r>
      <w:r>
        <w:rPr>
          <w:rFonts w:hint="eastAsia" w:cs="Times New Roman"/>
          <w:highlight w:val="yellow"/>
          <w:lang w:val="en-US" w:eastAsia="zh-CN"/>
        </w:rPr>
        <w:t>，</w:t>
      </w:r>
      <w:r>
        <w:rPr>
          <w:rFonts w:hint="eastAsia" w:ascii="宋体" w:hAnsi="宋体" w:cs="宋体"/>
          <w:sz w:val="21"/>
          <w:szCs w:val="21"/>
          <w:highlight w:val="yellow"/>
          <w:lang w:val="en-US" w:eastAsia="zh-CN"/>
        </w:rPr>
        <w:t>不能低于水岸华府一期标准，</w:t>
      </w:r>
      <w:r>
        <w:rPr>
          <w:rFonts w:hint="eastAsia" w:cs="Times New Roman"/>
          <w:highlight w:val="yellow"/>
          <w:lang w:val="en-US" w:eastAsia="zh-CN"/>
        </w:rPr>
        <w:t>面板1.5mm厚，304不锈钢材质，锁体重600g以上，锁芯为铜芯，安全等级为B级，防火等级为乙级），5寸*3厚304不锈钢防火合页及猫眼。凡五金配件，均要求为优质合格品牌，并提供五金配件样板给甲方确认。具体做法详见深化图。大批量制作前应先提交样板给甲方确认后方可施工。</w:t>
      </w:r>
    </w:p>
    <w:p>
      <w:pPr>
        <w:spacing w:line="350" w:lineRule="exact"/>
        <w:ind w:firstLine="420" w:firstLineChars="200"/>
        <w:rPr>
          <w:rFonts w:hint="eastAsia" w:ascii="宋体" w:hAnsi="宋体"/>
          <w:color w:val="000000"/>
          <w:szCs w:val="24"/>
          <w:highlight w:val="none"/>
          <w:lang w:val="en-US" w:eastAsia="zh-CN"/>
        </w:rPr>
      </w:pPr>
      <w:r>
        <w:rPr>
          <w:rFonts w:hint="eastAsia" w:cs="Times New Roman"/>
          <w:highlight w:val="none"/>
          <w:lang w:val="en-US" w:eastAsia="zh-CN"/>
        </w:rPr>
        <w:t>8</w:t>
      </w:r>
      <w:r>
        <w:rPr>
          <w:rFonts w:hint="default" w:cs="Times New Roman"/>
          <w:highlight w:val="none"/>
          <w:lang w:val="en-US" w:eastAsia="zh-CN"/>
        </w:rPr>
        <w:t>.1.3</w:t>
      </w:r>
      <w:r>
        <w:rPr>
          <w:rFonts w:hint="eastAsia" w:cs="Times New Roman"/>
          <w:highlight w:val="none"/>
          <w:lang w:val="en-US" w:eastAsia="zh-CN"/>
        </w:rPr>
        <w:t>以上门的制</w:t>
      </w:r>
      <w:r>
        <w:rPr>
          <w:rFonts w:hint="eastAsia" w:ascii="宋体" w:hAnsi="宋体"/>
          <w:color w:val="000000"/>
          <w:szCs w:val="24"/>
          <w:highlight w:val="none"/>
        </w:rPr>
        <w:t>作</w:t>
      </w:r>
      <w:r>
        <w:rPr>
          <w:rFonts w:hint="eastAsia" w:ascii="宋体" w:hAnsi="宋体"/>
          <w:color w:val="000000"/>
          <w:szCs w:val="24"/>
          <w:highlight w:val="none"/>
          <w:lang w:eastAsia="zh-CN"/>
        </w:rPr>
        <w:t>须</w:t>
      </w:r>
      <w:r>
        <w:rPr>
          <w:rFonts w:hint="eastAsia" w:ascii="宋体" w:hAnsi="宋体"/>
          <w:color w:val="000000"/>
          <w:szCs w:val="24"/>
          <w:highlight w:val="none"/>
        </w:rPr>
        <w:t>按照甲方指定的品牌，</w:t>
      </w:r>
      <w:r>
        <w:rPr>
          <w:rFonts w:hint="eastAsia" w:ascii="宋体" w:hAnsi="宋体"/>
          <w:color w:val="000000"/>
          <w:szCs w:val="24"/>
          <w:highlight w:val="none"/>
          <w:lang w:eastAsia="zh-CN"/>
        </w:rPr>
        <w:t>所有产品的各种配件及材料均须满足图纸要求，乙方须在备料前提供样板，经甲方签字确认封板后方可备料。</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8</w:t>
      </w:r>
      <w:r>
        <w:rPr>
          <w:rFonts w:hint="default" w:cs="Times New Roman"/>
          <w:highlight w:val="none"/>
          <w:lang w:val="en-US" w:eastAsia="zh-CN"/>
        </w:rPr>
        <w:t>.1.4</w:t>
      </w:r>
      <w:r>
        <w:rPr>
          <w:rFonts w:hint="eastAsia" w:cs="Times New Roman"/>
          <w:highlight w:val="none"/>
          <w:lang w:val="en-US" w:eastAsia="zh-CN"/>
        </w:rPr>
        <w:t>乙方在制作半成品之前，报甲方检查材料与样板是否一致及相应的质量证明。对现场抽检的门，其抽检合格的费用由乙方承担；如甲方认为某种材料需送检，则双方共同现场取样后送质检部门检验，检验合格，费用由甲方承担，否则由乙方承担费用并更换同等质量的合格产品。乙方在制作过程中不得更换已经检验的材料，否则甲方将立即与乙方解除合同，由此造成甲方的损失由乙方赔偿。</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8</w:t>
      </w:r>
      <w:r>
        <w:rPr>
          <w:rFonts w:hint="default" w:cs="Times New Roman"/>
          <w:highlight w:val="none"/>
          <w:lang w:val="en-US" w:eastAsia="zh-CN"/>
        </w:rPr>
        <w:t>.2</w:t>
      </w:r>
      <w:r>
        <w:rPr>
          <w:rFonts w:hint="eastAsia" w:cs="Times New Roman"/>
          <w:highlight w:val="none"/>
          <w:lang w:val="en-US" w:eastAsia="zh-CN"/>
        </w:rPr>
        <w:t>质量要求</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8</w:t>
      </w:r>
      <w:r>
        <w:rPr>
          <w:rFonts w:hint="default" w:cs="Times New Roman"/>
          <w:highlight w:val="none"/>
          <w:lang w:val="en-US" w:eastAsia="zh-CN"/>
        </w:rPr>
        <w:t>.2.1</w:t>
      </w:r>
      <w:r>
        <w:rPr>
          <w:rFonts w:hint="eastAsia" w:cs="Times New Roman"/>
          <w:highlight w:val="none"/>
          <w:lang w:val="en-US" w:eastAsia="zh-CN"/>
        </w:rPr>
        <w:t>门框、门扇制作尺寸在允许偏差范围内，安装垂直度在规范允许误差范围内，无异常变形、划痕、开裂等，开启方向正确，门扇花纹符合图纸要求，平稳牢固，门锁安装牢固、开启自如。</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8</w:t>
      </w:r>
      <w:r>
        <w:rPr>
          <w:rFonts w:hint="default" w:cs="Times New Roman"/>
          <w:highlight w:val="none"/>
          <w:lang w:val="en-US" w:eastAsia="zh-CN"/>
        </w:rPr>
        <w:t>.2.2</w:t>
      </w:r>
      <w:r>
        <w:rPr>
          <w:rFonts w:hint="eastAsia" w:cs="Times New Roman"/>
          <w:highlight w:val="none"/>
          <w:lang w:val="en-US" w:eastAsia="zh-CN"/>
        </w:rPr>
        <w:t>防火等级满足图纸及规范要求，乙级防火门的耐火极限不应小于1.0h。每个门必须具备产品合格证、检验报告及供货证明、铁牌等资料（以满足当地政府主管部门验收要求为准）。</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8</w:t>
      </w:r>
      <w:r>
        <w:rPr>
          <w:rFonts w:hint="default" w:cs="Times New Roman"/>
          <w:highlight w:val="none"/>
          <w:lang w:val="en-US" w:eastAsia="zh-CN"/>
        </w:rPr>
        <w:t>.2.3</w:t>
      </w:r>
      <w:r>
        <w:rPr>
          <w:rFonts w:hint="eastAsia" w:cs="Times New Roman"/>
          <w:highlight w:val="none"/>
          <w:lang w:val="en-US" w:eastAsia="zh-CN"/>
        </w:rPr>
        <w:t>根据消防验收要求，需要现场抽样破坏性剖切断面检查，以验证产品与送检产品的一致性。剖切检查所需产品及相关费用由厂家承担，至少抽检1套，不另计价。</w:t>
      </w:r>
    </w:p>
    <w:p>
      <w:pPr>
        <w:spacing w:line="350" w:lineRule="exact"/>
        <w:ind w:firstLine="420" w:firstLineChars="200"/>
        <w:rPr>
          <w:rFonts w:hint="default" w:cs="Times New Roman"/>
          <w:highlight w:val="none"/>
          <w:lang w:val="en-US" w:eastAsia="zh-CN"/>
        </w:rPr>
      </w:pPr>
      <w:r>
        <w:rPr>
          <w:rFonts w:hint="eastAsia" w:cs="Times New Roman"/>
          <w:highlight w:val="none"/>
          <w:lang w:val="en-US" w:eastAsia="zh-CN"/>
        </w:rPr>
        <w:t>8</w:t>
      </w:r>
      <w:r>
        <w:rPr>
          <w:rFonts w:hint="default" w:cs="Times New Roman"/>
          <w:highlight w:val="none"/>
          <w:lang w:val="en-US" w:eastAsia="zh-CN"/>
        </w:rPr>
        <w:t>.2.4</w:t>
      </w:r>
      <w:r>
        <w:rPr>
          <w:rFonts w:hint="eastAsia" w:cs="Times New Roman"/>
          <w:highlight w:val="none"/>
          <w:lang w:val="en-US" w:eastAsia="zh-CN"/>
        </w:rPr>
        <w:t>本</w:t>
      </w:r>
      <w:r>
        <w:rPr>
          <w:rFonts w:hint="eastAsia" w:ascii="宋体" w:hAnsi="宋体"/>
          <w:color w:val="000000"/>
          <w:szCs w:val="24"/>
          <w:highlight w:val="none"/>
          <w:lang w:val="en-US" w:eastAsia="zh-CN"/>
        </w:rPr>
        <w:t>工程质量须达到国家钢质入户门及钢质入户</w:t>
      </w:r>
      <w:r>
        <w:rPr>
          <w:rFonts w:hint="eastAsia" w:ascii="宋体" w:hAnsi="宋体" w:cs="宋体"/>
          <w:b w:val="0"/>
          <w:bCs w:val="0"/>
          <w:szCs w:val="21"/>
          <w:highlight w:val="none"/>
          <w:u w:val="none"/>
          <w:lang w:eastAsia="zh-CN"/>
        </w:rPr>
        <w:t>防火门</w:t>
      </w:r>
      <w:r>
        <w:rPr>
          <w:rFonts w:hint="eastAsia" w:ascii="宋体" w:hAnsi="宋体"/>
          <w:color w:val="000000"/>
          <w:szCs w:val="24"/>
          <w:highlight w:val="none"/>
          <w:lang w:val="en-US" w:eastAsia="zh-CN"/>
        </w:rPr>
        <w:t>竣工验收规范及行业标准的优良要求。</w:t>
      </w:r>
    </w:p>
    <w:p>
      <w:pPr>
        <w:keepNext w:val="0"/>
        <w:keepLines w:val="0"/>
        <w:pageBreakBefore w:val="0"/>
        <w:widowControl w:val="0"/>
        <w:kinsoku/>
        <w:wordWrap/>
        <w:overflowPunct/>
        <w:topLinePunct w:val="0"/>
        <w:autoSpaceDE/>
        <w:autoSpaceDN/>
        <w:bidi w:val="0"/>
        <w:adjustRightInd/>
        <w:spacing w:line="310" w:lineRule="exact"/>
        <w:ind w:right="0" w:rightChars="0"/>
        <w:jc w:val="both"/>
        <w:outlineLvl w:val="9"/>
        <w:rPr>
          <w:rFonts w:hint="eastAsia" w:ascii="宋体" w:hAnsi="宋体"/>
          <w:b/>
          <w:bCs/>
          <w:color w:val="000000"/>
          <w:szCs w:val="24"/>
          <w:highlight w:val="none"/>
        </w:rPr>
      </w:pPr>
      <w:r>
        <w:rPr>
          <w:rFonts w:hint="eastAsia" w:ascii="宋体" w:hAnsi="宋体"/>
          <w:b/>
          <w:bCs/>
          <w:color w:val="000000"/>
          <w:szCs w:val="24"/>
          <w:highlight w:val="none"/>
          <w:lang w:eastAsia="zh-CN"/>
        </w:rPr>
        <w:t>九</w:t>
      </w:r>
      <w:r>
        <w:rPr>
          <w:rFonts w:hint="eastAsia" w:ascii="宋体" w:hAnsi="宋体"/>
          <w:b/>
          <w:bCs/>
          <w:color w:val="000000"/>
          <w:szCs w:val="24"/>
          <w:highlight w:val="none"/>
        </w:rPr>
        <w:t>、安全生产、文明施工要求</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9.1双方联系均以书面形式为准，特殊情况可口头通知，但事后24小时内应补办书面文件；</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9.2如乙方人员使用甲方提供的宿舍，住宿按7人/间配置，凡按乙方人员分配房间超过数量的，甲方将按1000元/间/月（税金另计）向乙方收取房租费，乙方必须每月按电表缴纳电费（线路损耗按装表计量实际量加10%损耗计）和空调使用费【按1.3元/间/天计（税金另计），未安装空调的此项不计】给甲方；</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9.3属乙方责任的工作未完成的，甲方有权安排他人完成并以500元/工日计价（如实际费用高于前述标准的，按实际费用计）从乙方工程款中扣除；</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9.4非乙方原因造成的阶段性、区域停工十天以上（不含十天），乙方有权撤退调离多余的工人。但因此形成的短期怠工（十天以内）及进出场的费用已包括在本合同约定酬金，由乙方自行协调解决，与甲方无关；</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9.5乙方人员、机械设备无论在任何时候分几次进退场，均不计进退场费，其费用已包含在合同单价内；</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9.6甲方对乙方向其所聘请工人发放报酬情况享有知悉权，有权知道乙方工人的工资分配制度和实施情况，对不合理、违规的分配甲方有权制止及干预；</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9.7乙方在施工过程中的一切行为，须符合《建筑施工安全检查标准》JGJ59-2011标准和当地有关文件及甲方针对本工程的安全生产、文明施工管理制度；</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9.8甲方应对乙方进场的施工人员进行安全教育；</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9.9甲方不得违反《建设工程安全生产管理条例》的规定，要求乙方违章施工。因甲方指挥失误导致的安全事故，由甲方承担相应的责任和费用；</w:t>
      </w:r>
    </w:p>
    <w:p>
      <w:pPr>
        <w:spacing w:line="350" w:lineRule="exact"/>
        <w:ind w:firstLine="420" w:firstLineChars="200"/>
        <w:rPr>
          <w:rFonts w:hint="eastAsia" w:ascii="宋体" w:hAnsi="宋体"/>
          <w:color w:val="000000"/>
          <w:szCs w:val="24"/>
          <w:highlight w:val="none"/>
        </w:rPr>
      </w:pPr>
      <w:r>
        <w:rPr>
          <w:rFonts w:hint="eastAsia" w:cs="Times New Roman"/>
          <w:highlight w:val="none"/>
          <w:lang w:val="en-US" w:eastAsia="zh-CN"/>
        </w:rPr>
        <w:t>9.10乙方应严格遵守《建设工程安全生产管理条例》及有关文件安全管理规定，组织安排工人施工，消除安全隐患</w:t>
      </w:r>
      <w:r>
        <w:rPr>
          <w:rFonts w:hint="eastAsia" w:ascii="宋体" w:hAnsi="宋体"/>
          <w:color w:val="000000"/>
          <w:szCs w:val="24"/>
          <w:highlight w:val="none"/>
        </w:rPr>
        <w:t>，</w:t>
      </w:r>
      <w:r>
        <w:rPr>
          <w:rFonts w:hint="eastAsia" w:ascii="宋体" w:hAnsi="宋体"/>
          <w:szCs w:val="24"/>
          <w:highlight w:val="none"/>
        </w:rPr>
        <w:t>乙方施工作业人员年龄必须在1</w:t>
      </w:r>
      <w:r>
        <w:rPr>
          <w:rFonts w:hint="eastAsia" w:ascii="宋体" w:hAnsi="宋体"/>
          <w:szCs w:val="24"/>
          <w:highlight w:val="none"/>
          <w:lang w:val="en-US" w:eastAsia="zh-CN"/>
        </w:rPr>
        <w:t>8</w:t>
      </w:r>
      <w:r>
        <w:rPr>
          <w:rFonts w:hint="eastAsia" w:ascii="宋体" w:hAnsi="宋体"/>
          <w:szCs w:val="24"/>
          <w:highlight w:val="none"/>
        </w:rPr>
        <w:t>-60周岁之间</w:t>
      </w:r>
      <w:r>
        <w:rPr>
          <w:rFonts w:hint="eastAsia" w:ascii="宋体" w:hAnsi="宋体"/>
          <w:color w:val="000000"/>
          <w:szCs w:val="24"/>
          <w:highlight w:val="none"/>
        </w:rPr>
        <w:t>。乙方承包该工程分项工作的，在工程完工并在验收以前，乙方保证甲方不承担任何人身伤亡或财产损失所发生的一切责任，保障甲方不承担任何属于乙方及其施工人员引起的诉讼，控告、索赔责任及可能发生的相关费用</w:t>
      </w:r>
      <w:r>
        <w:rPr>
          <w:rFonts w:hint="eastAsia" w:ascii="宋体" w:hAnsi="宋体"/>
          <w:color w:val="000000"/>
          <w:szCs w:val="24"/>
          <w:highlight w:val="none"/>
          <w:lang w:eastAsia="zh-CN"/>
        </w:rPr>
        <w:t>；</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9.11乙方在施工过程中，施工现场文明施工严格按《建筑施工安全检查标准》JGJ59—2011执行，上道工序完成与下道工序必须进行工作面交接，并以书面形式备忘，将“工作面交接签证单”作为工程进度款申请书结算书的附件；</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9.12乙方及其工人在每天的施工过程中，必须做到工完场清，乙方包工包料部分所造成的垃圾由乙方负责清理外动，在办理工程进度款申请书、结算时必须提供甲方主管施工员和甲方项目经理签名的“工完场清签证单”，否则甲方有权不予办理；</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9.13其它事项：</w:t>
      </w:r>
    </w:p>
    <w:p>
      <w:pPr>
        <w:spacing w:line="350" w:lineRule="exact"/>
        <w:ind w:firstLine="420" w:firstLineChars="200"/>
        <w:rPr>
          <w:rFonts w:hint="eastAsia" w:cs="Times New Roman"/>
          <w:highlight w:val="none"/>
          <w:lang w:val="en-US" w:eastAsia="zh-CN"/>
        </w:rPr>
      </w:pPr>
      <w:r>
        <w:rPr>
          <w:rFonts w:hint="default" w:cs="Times New Roman"/>
          <w:highlight w:val="none"/>
          <w:lang w:eastAsia="zh-CN"/>
        </w:rPr>
        <w:t>9.13.1</w:t>
      </w:r>
      <w:r>
        <w:rPr>
          <w:rFonts w:hint="eastAsia" w:cs="Times New Roman"/>
          <w:highlight w:val="none"/>
          <w:lang w:val="en-US" w:eastAsia="zh-CN"/>
        </w:rPr>
        <w:t xml:space="preserve">配合、服从甲方的安全、文明施工要求和可能建设方售楼所需的配合工作；                                                                         </w:t>
      </w:r>
    </w:p>
    <w:p>
      <w:pPr>
        <w:spacing w:line="350" w:lineRule="exact"/>
        <w:ind w:firstLine="420" w:firstLineChars="200"/>
        <w:rPr>
          <w:rFonts w:hint="eastAsia" w:ascii="宋体" w:hAnsi="宋体"/>
          <w:color w:val="000000"/>
          <w:szCs w:val="24"/>
          <w:highlight w:val="none"/>
        </w:rPr>
      </w:pPr>
      <w:r>
        <w:rPr>
          <w:rFonts w:hint="eastAsia" w:cs="Times New Roman"/>
          <w:highlight w:val="none"/>
          <w:lang w:val="en-US" w:eastAsia="zh-CN"/>
        </w:rPr>
        <w:t>9.13.</w:t>
      </w:r>
      <w:r>
        <w:rPr>
          <w:rFonts w:hint="default" w:cs="Times New Roman"/>
          <w:highlight w:val="none"/>
          <w:lang w:eastAsia="zh-CN"/>
        </w:rPr>
        <w:t>2</w:t>
      </w:r>
      <w:r>
        <w:rPr>
          <w:rFonts w:hint="eastAsia" w:ascii="宋体" w:hAnsi="宋体"/>
          <w:color w:val="000000"/>
          <w:szCs w:val="24"/>
          <w:highlight w:val="none"/>
        </w:rPr>
        <w:t>工程安全文明施工工作必须按“市双优样板工程”组织人员配合</w:t>
      </w:r>
      <w:r>
        <w:rPr>
          <w:rFonts w:hint="eastAsia" w:ascii="宋体" w:hAnsi="宋体"/>
          <w:color w:val="000000"/>
          <w:szCs w:val="24"/>
          <w:highlight w:val="none"/>
          <w:lang w:val="en-US" w:eastAsia="zh-CN"/>
        </w:rPr>
        <w:t>甲方</w:t>
      </w:r>
      <w:r>
        <w:rPr>
          <w:rFonts w:hint="eastAsia" w:ascii="宋体" w:hAnsi="宋体"/>
          <w:color w:val="000000"/>
          <w:szCs w:val="24"/>
          <w:highlight w:val="none"/>
        </w:rPr>
        <w:t xml:space="preserve">工作。 </w:t>
      </w:r>
    </w:p>
    <w:p>
      <w:pPr>
        <w:keepNext w:val="0"/>
        <w:keepLines w:val="0"/>
        <w:pageBreakBefore w:val="0"/>
        <w:widowControl w:val="0"/>
        <w:numPr>
          <w:ilvl w:val="0"/>
          <w:numId w:val="0"/>
        </w:numPr>
        <w:kinsoku/>
        <w:wordWrap/>
        <w:overflowPunct/>
        <w:topLinePunct w:val="0"/>
        <w:autoSpaceDE/>
        <w:autoSpaceDN/>
        <w:bidi w:val="0"/>
        <w:adjustRightInd/>
        <w:spacing w:line="310" w:lineRule="exact"/>
        <w:ind w:right="0" w:rightChars="0"/>
        <w:jc w:val="both"/>
        <w:outlineLvl w:val="9"/>
        <w:rPr>
          <w:rFonts w:ascii="宋体" w:hAnsi="宋体"/>
          <w:b/>
          <w:color w:val="000000"/>
          <w:szCs w:val="21"/>
          <w:highlight w:val="none"/>
        </w:rPr>
      </w:pPr>
      <w:r>
        <w:rPr>
          <w:rFonts w:hint="eastAsia" w:ascii="宋体" w:hAnsi="宋体"/>
          <w:b/>
          <w:bCs/>
          <w:color w:val="000000"/>
          <w:szCs w:val="24"/>
          <w:highlight w:val="none"/>
          <w:lang w:eastAsia="zh-CN"/>
        </w:rPr>
        <w:t>十、验收及保修</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10.1所有工程完工后，乙方自检符合质量要求后提请甲方组织验收，整个工程经建设行政主管部门竣工验收合格和消防验收合格后，移交给建设方使用日为竣工日期，</w:t>
      </w:r>
      <w:r>
        <w:rPr>
          <w:rFonts w:hint="eastAsia"/>
          <w:lang w:val="en-US" w:eastAsia="zh-CN"/>
        </w:rPr>
        <w:t>竣工验收后，视为工程符合要求</w:t>
      </w:r>
      <w:r>
        <w:rPr>
          <w:rFonts w:hint="eastAsia" w:cs="Times New Roman"/>
          <w:highlight w:val="none"/>
          <w:lang w:val="en-US" w:eastAsia="zh-CN"/>
        </w:rPr>
        <w:t>；</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10.2乙方完成的工程质量必须符合国家相关规范和强制标准的“优良”标准；</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10.3质保期：自本工程经政府主管部门、建设单位、甲乙双方等相关单位验收合格并移交建设单位之日起计，为期两年；</w:t>
      </w: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10.4质保内容：乙方对本工程出现的质量问题免费进行维修或更换，乙方需无条件配合甲方进行移交物业和小业主之前的相关整改工作；</w:t>
      </w:r>
    </w:p>
    <w:p>
      <w:pPr>
        <w:spacing w:line="350" w:lineRule="exact"/>
        <w:ind w:firstLine="420" w:firstLineChars="200"/>
        <w:rPr>
          <w:rFonts w:hint="eastAsia" w:ascii="宋体" w:hAnsi="宋体"/>
          <w:szCs w:val="21"/>
          <w:highlight w:val="none"/>
        </w:rPr>
      </w:pPr>
      <w:r>
        <w:rPr>
          <w:rFonts w:hint="eastAsia" w:cs="Times New Roman"/>
          <w:highlight w:val="none"/>
          <w:lang w:val="en-US" w:eastAsia="zh-CN"/>
        </w:rPr>
        <w:t>10.5</w:t>
      </w:r>
      <w:r>
        <w:rPr>
          <w:rFonts w:hint="eastAsia" w:ascii="宋体" w:hAnsi="宋体"/>
          <w:szCs w:val="21"/>
          <w:highlight w:val="none"/>
        </w:rPr>
        <w:t>在保修期内，因产品质量或施工质量造成的问题，乙方在收到通知后2天内及时处理并承担费用。如乙方不履行保修义务，甲方可以另请第三方维修，所发生的一切费用</w:t>
      </w:r>
      <w:r>
        <w:rPr>
          <w:rFonts w:hint="eastAsia" w:ascii="宋体" w:hAnsi="宋体" w:cs="宋体"/>
          <w:szCs w:val="21"/>
          <w:highlight w:val="none"/>
        </w:rPr>
        <w:t>另加15%</w:t>
      </w:r>
      <w:r>
        <w:rPr>
          <w:rFonts w:hint="eastAsia" w:ascii="宋体" w:hAnsi="宋体"/>
          <w:szCs w:val="21"/>
          <w:highlight w:val="none"/>
        </w:rPr>
        <w:t>由乙方承担。如保修金不足以支付维修费的，乙方承诺仍负责支付。如不属乙方原因损坏的，乙方只需提供修理，相应费用由相关单位负责。保修金退还乙方后，仍不免除乙方在保修期内的保修责任。</w:t>
      </w:r>
    </w:p>
    <w:p>
      <w:pPr>
        <w:spacing w:line="340" w:lineRule="exact"/>
        <w:textAlignment w:val="baseline"/>
        <w:rPr>
          <w:rFonts w:hint="eastAsia"/>
          <w:b/>
          <w:highlight w:val="none"/>
        </w:rPr>
      </w:pPr>
      <w:r>
        <w:rPr>
          <w:rFonts w:hint="eastAsia"/>
          <w:b/>
          <w:highlight w:val="none"/>
        </w:rPr>
        <w:t>十</w:t>
      </w:r>
      <w:r>
        <w:rPr>
          <w:rFonts w:hint="eastAsia"/>
          <w:b/>
          <w:highlight w:val="none"/>
          <w:lang w:eastAsia="zh-CN"/>
        </w:rPr>
        <w:t>一</w:t>
      </w:r>
      <w:r>
        <w:rPr>
          <w:rFonts w:hint="eastAsia"/>
          <w:b/>
          <w:highlight w:val="none"/>
        </w:rPr>
        <w:t>、保险</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11.1由于不可抗力、自然灾害或意外事故等情形造成本工程出险时，甲方如已办理本工程建筑安装工程一切险，乙方则须及时向甲方提交索赔资料，配合保险公司调查并无条件接受保险公司的处理结果。如本工程出现损失、损害或损坏，乙方须立即修复、补救及更换或维修任何受破坏或损坏之部位，同时按甲方要求清理及弃置任何残骸。</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11.2乙方按国家相关规定办理乙方人员、财产、现场各种施工设施、设备、材料的保险，相关费用已含在本合同第四章约定的合同价格中无需甲方另行支付给乙方。因乙方原因造成任何事故(包括第三方人员在内)导致的损失、赔偿、补偿等责任和费用由乙方承担。</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11.3甲乙双方在签订各自的保险合同时，其第三方责任险应将对方互相视为第三方。</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11.4因乙方原因而延长保险期所需增加的保险费由乙方自行承担。</w:t>
      </w:r>
    </w:p>
    <w:p>
      <w:pPr>
        <w:snapToGrid w:val="0"/>
        <w:spacing w:line="340" w:lineRule="exact"/>
        <w:ind w:firstLine="420" w:firstLineChars="200"/>
        <w:textAlignment w:val="baseline"/>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11.5乙方须对本工程涉及的乙方人员购买人身意外伤害险等险种，保额为死亡赔偿人民币100万元/人以上，伤害赔偿为人民币15万元/人以上，乙方须自保险合同生效之日起5个日历天内将保险合同复印件（加盖乙方公章）提交甲方项目部留存，每延迟一天提交则向甲方承担违约金人民币伍仟元，延迟5个日历天以上的，甲方有权代办并按代办费用的200%自应付乙方合同款中扣款。无论甲乙任何一方有无按照本条约定办理保险合同，乙方人员因本工程发生的伤亡事故均由乙方承担责任和费用。</w:t>
      </w:r>
    </w:p>
    <w:p>
      <w:pPr>
        <w:spacing w:line="340" w:lineRule="exact"/>
        <w:textAlignment w:val="baseline"/>
        <w:rPr>
          <w:b/>
          <w:sz w:val="20"/>
          <w:highlight w:val="none"/>
        </w:rPr>
      </w:pPr>
      <w:r>
        <w:rPr>
          <w:rFonts w:hint="eastAsia"/>
          <w:b/>
          <w:highlight w:val="none"/>
        </w:rPr>
        <w:t>十</w:t>
      </w:r>
      <w:r>
        <w:rPr>
          <w:rFonts w:hint="eastAsia"/>
          <w:b/>
          <w:highlight w:val="none"/>
          <w:lang w:eastAsia="zh-CN"/>
        </w:rPr>
        <w:t>二</w:t>
      </w:r>
      <w:r>
        <w:rPr>
          <w:rFonts w:hint="eastAsia"/>
          <w:b/>
          <w:highlight w:val="none"/>
        </w:rPr>
        <w:t>、奖罚条款</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12.1奖励</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12.1.1如乙方施工的产品质量优质，施工过程中材料节约，施工进度快，安全生产、文明施工达标，作业队伍整体形象受各方好评且有下列情况之一的，甲方给乙方一定的奖励（奖励额度按有关规定执行，最终由甲方确定和解释，甲方亦有权取消奖励）：</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12.1.1.1甲方组织的各类检查验收中，乙方组建的施工队伍被评为优质作业队。</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12.1.1.2乙方负责施工的成品受到省、市有关部门表彰。</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12.1.1.3乙方负责施工的成品受到业主、监理好评。</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12.1.1.4特定情况下，由于乙方的主观努力使甲方避免遭受巨大损失。</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12.1.1.5乙方及其所组织施工工人安全生产、文明施工、节约用料、质量优、进度快。</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12.1.1.6乙方及其所组织施工工人遵纪守法、见义勇为。</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12.2惩罚</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12.2.1如乙方出现下列任一情况，甲方有权单方解除本合同，并在乙方全部人员退场后仅按乙方完成合格工程量的20%结算，同时乙方赔偿甲方损失（包括但不限于因工期延误而使得甲方对建设方承担的违约责任、损失赔偿责任等）：</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12.2.1.1乙方在质量、进度、安全、管理等方面经甲方三次警告、处罚后仍不能明显改善；</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12.2.1.2乙方将本工程以各种形式转包给他人。</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12.2.2因下列情况导致的甲方损失均由乙方赔偿（包括但不限于因逾期完工而使得甲方对建设方承担的违约责任、损失赔偿责任等）：</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①因乙方施工质量事故造成的损失；</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②因乙方中途退场造成的损失。</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12.2.3因乙方导致工程质量或工期达不到合同要求或使用材料用量超标的，均属乙方违约，甲方有权单方解除合同且不违约，工程量结算只按乙方完成合格工程量的20％计，剩余80％工程量作为后续班组帮工收尾、收口的人工费，同时乙方承担由此造成的损失责任及费用。</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12.2.4乙方或其人员有下列情况之一的，甲方有权对乙方采取每人或每次处罚违约金500~30000元的措施：</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12.2.4.1隐蔽工程一次验收不合格；</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12.2.4.2不能按甲方周进度计划完成施工作业延误工期一天；</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12.2.4.3出现因质量、安全不满足本合同约定需整改；</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12.2.4.4聚众赌博，影响他人休息；</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12.2.4.5聚众闹事、打人、打架、偷抢行为；</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12.2.4.6容留非工地施工人员在宿舍住宿；</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12.2.4.7不按要求加班或人员不足延误工期一天；</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12.2.4.8浪费材料、损坏机具或破坏其它设施及成品；</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12.2.4.9在生活区存放易燃易爆物品或其它危险品；</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12.2.4.10收留、聘用未成年人；（罚款的同时驱逐未成年人离开工地）</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12.2.4.11在宿舍内做饭、使用大功率电器设备，如电磁炉、电饭煲、电热棒等。</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12.2.5乙方或其人员有下列情况之一的，甲方有权对乙方采取每人或每次处罚违约金50~30000元的措施：</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12.2.5.1管理人员未经甲方同意离开工地两天以内；</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12.2.5.2未戴好安全帽、穿拖鞋或赤脚、赤膊进入作业区；</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12.2.5.3不戴工卡上岗；</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12.2.5.4施工人员进场三天内不办理工作卡；</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12.2.5.5未经甲方批准擅带家属及小孩进入施工现场或在宿舍居住；</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12.2.5.6工棚内乱拉乱接电线，违反生活区管理制度；</w:t>
      </w:r>
    </w:p>
    <w:p>
      <w:pPr>
        <w:snapToGrid w:val="0"/>
        <w:spacing w:line="340" w:lineRule="exact"/>
        <w:ind w:firstLine="420" w:firstLineChars="200"/>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12.2.5.7宿舍卫生不合格；</w:t>
      </w:r>
    </w:p>
    <w:p>
      <w:pPr>
        <w:snapToGrid w:val="0"/>
        <w:spacing w:line="340" w:lineRule="exact"/>
        <w:ind w:firstLine="420" w:firstLineChars="200"/>
        <w:textAlignment w:val="baseline"/>
        <w:rPr>
          <w:rFonts w:hint="eastAsia" w:ascii="宋体" w:hAnsi="宋体" w:cs="宋体"/>
          <w:kern w:val="0"/>
          <w:szCs w:val="21"/>
          <w:highlight w:val="none"/>
        </w:rPr>
      </w:pPr>
      <w:r>
        <w:rPr>
          <w:rFonts w:hint="eastAsia" w:ascii="Times New Roman" w:hAnsi="Times New Roman" w:eastAsia="宋体" w:cs="Times New Roman"/>
          <w:highlight w:val="none"/>
          <w:lang w:val="en-US" w:eastAsia="zh-CN"/>
        </w:rPr>
        <w:t>12.2.5.8材料机具未按要求堆放，建筑垃圾未按要求处理，随地大小便，随意吸烟，在墙上乱涂乱画。</w:t>
      </w:r>
    </w:p>
    <w:p>
      <w:pPr>
        <w:widowControl w:val="0"/>
        <w:numPr>
          <w:ilvl w:val="0"/>
          <w:numId w:val="0"/>
        </w:numPr>
        <w:jc w:val="both"/>
        <w:rPr>
          <w:rFonts w:hint="default" w:ascii="宋体" w:hAnsi="宋体" w:cs="宋体"/>
          <w:b/>
          <w:bCs/>
          <w:highlight w:val="none"/>
          <w:u w:val="none"/>
          <w:lang w:val="en-US" w:eastAsia="zh-CN"/>
        </w:rPr>
      </w:pPr>
      <w:r>
        <w:rPr>
          <w:rFonts w:hint="eastAsia" w:ascii="宋体" w:hAnsi="宋体" w:eastAsia="宋体" w:cs="宋体"/>
          <w:b/>
          <w:bCs/>
          <w:highlight w:val="none"/>
          <w:u w:val="none"/>
          <w:lang w:val="en-US" w:eastAsia="zh-CN"/>
        </w:rPr>
        <w:t>十</w:t>
      </w:r>
      <w:r>
        <w:rPr>
          <w:rFonts w:hint="eastAsia" w:ascii="宋体" w:hAnsi="宋体" w:cs="宋体"/>
          <w:b/>
          <w:bCs/>
          <w:highlight w:val="none"/>
          <w:u w:val="none"/>
          <w:lang w:val="en-US" w:eastAsia="zh-CN"/>
        </w:rPr>
        <w:t>三</w:t>
      </w:r>
      <w:r>
        <w:rPr>
          <w:rFonts w:hint="eastAsia" w:ascii="宋体" w:hAnsi="宋体" w:eastAsia="宋体" w:cs="宋体"/>
          <w:b/>
          <w:bCs/>
          <w:highlight w:val="none"/>
          <w:u w:val="none"/>
          <w:lang w:val="en-US" w:eastAsia="zh-CN"/>
        </w:rPr>
        <w:t>、违约条款</w:t>
      </w:r>
    </w:p>
    <w:p>
      <w:pPr>
        <w:snapToGrid w:val="0"/>
        <w:spacing w:line="370" w:lineRule="exact"/>
        <w:ind w:firstLine="420"/>
        <w:textAlignment w:val="baseline"/>
        <w:rPr>
          <w:rFonts w:hint="eastAsia"/>
          <w:b w:val="0"/>
          <w:bCs/>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1乙方延迟开工或不能按合同约定的工期完成本工程任一节点内容的，每延迟一个日历天，乙方向甲方支付违约金人民币壹万元整，延迟超过三个日历天的，甲方有权单方解除合同，已完工工程无偿归甲方，甲方无需支付工程款并有权委托其他单位继续完成本工程；乙方还需按</w:t>
      </w:r>
      <w:r>
        <w:rPr>
          <w:rFonts w:hint="eastAsia" w:ascii="宋体" w:hAnsi="宋体" w:eastAsia="宋体" w:cs="宋体"/>
          <w:b w:val="0"/>
          <w:bCs w:val="0"/>
          <w:i w:val="0"/>
          <w:iCs w:val="0"/>
          <w:color w:val="auto"/>
          <w:kern w:val="0"/>
          <w:sz w:val="21"/>
          <w:szCs w:val="21"/>
          <w:highlight w:val="none"/>
          <w:u w:val="single"/>
        </w:rPr>
        <w:sym w:font="Wingdings 2" w:char="00A3"/>
      </w:r>
      <w:r>
        <w:rPr>
          <w:rFonts w:hint="eastAsia" w:ascii="宋体" w:hAnsi="宋体" w:eastAsia="宋体" w:cs="宋体"/>
          <w:b w:val="0"/>
          <w:bCs w:val="0"/>
          <w:i w:val="0"/>
          <w:iCs w:val="0"/>
          <w:color w:val="auto"/>
          <w:kern w:val="0"/>
          <w:sz w:val="21"/>
          <w:szCs w:val="21"/>
          <w:highlight w:val="none"/>
          <w:u w:val="single"/>
          <w:lang w:val="en-US" w:eastAsia="zh-CN"/>
        </w:rPr>
        <w:t>合同暂定总价/</w:t>
      </w:r>
      <w:r>
        <w:rPr>
          <w:rFonts w:hint="eastAsia" w:ascii="宋体" w:hAnsi="宋体" w:eastAsia="宋体" w:cs="宋体"/>
          <w:b w:val="0"/>
          <w:bCs w:val="0"/>
          <w:i w:val="0"/>
          <w:iCs w:val="0"/>
          <w:color w:val="auto"/>
          <w:kern w:val="0"/>
          <w:sz w:val="21"/>
          <w:szCs w:val="21"/>
          <w:highlight w:val="none"/>
          <w:u w:val="single"/>
        </w:rPr>
        <w:sym w:font="Wingdings 2" w:char="00A3"/>
      </w:r>
      <w:r>
        <w:rPr>
          <w:rFonts w:hint="eastAsia" w:ascii="宋体" w:hAnsi="宋体" w:eastAsia="宋体" w:cs="宋体"/>
          <w:b w:val="0"/>
          <w:bCs w:val="0"/>
          <w:i w:val="0"/>
          <w:iCs w:val="0"/>
          <w:color w:val="auto"/>
          <w:kern w:val="0"/>
          <w:sz w:val="21"/>
          <w:szCs w:val="21"/>
          <w:highlight w:val="none"/>
          <w:u w:val="single"/>
          <w:lang w:val="en-US" w:eastAsia="zh-CN"/>
        </w:rPr>
        <w:t>合同总价</w:t>
      </w:r>
      <w:r>
        <w:rPr>
          <w:rFonts w:hint="eastAsia"/>
          <w:b w:val="0"/>
          <w:bCs/>
          <w:highlight w:val="none"/>
        </w:rPr>
        <w:t>的20%支付违约金并按甲方要求准时退场，每延迟一个日历天退场，乙方向甲方另行支付违约金人民币壹万元整，甲方的损失（包括但不限于因逾期而使得甲方需对建设方承担的违约责任、损失赔偿责任等）由乙方赔偿。</w:t>
      </w:r>
    </w:p>
    <w:p>
      <w:pPr>
        <w:snapToGrid w:val="0"/>
        <w:spacing w:line="370" w:lineRule="exact"/>
        <w:ind w:firstLine="420"/>
        <w:textAlignment w:val="baseline"/>
        <w:rPr>
          <w:rFonts w:hint="eastAsia"/>
          <w:b w:val="0"/>
          <w:bCs/>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2乙方原因造成本工程质量达不到约定的质量标准的，乙方无条件返工至合格为止。甲方要求之日起3个日历天内，乙方仍未采取有效返工措施或未在甲方要求的期限内完成整改并通过甲方验收的，每延迟一个日历天，乙方向甲方支付违约金人民币壹万元整并赔偿甲方损失（包括但不限于因逾期完工而使得甲方需对建设方承担的违约责任、损失赔偿责任等），同时甲方有权：①单方解除合同并要求乙方期限内无条件撤场，乙方向甲方支付金额等于</w:t>
      </w:r>
      <w:r>
        <w:rPr>
          <w:rFonts w:hint="eastAsia" w:ascii="宋体" w:hAnsi="宋体" w:eastAsia="宋体" w:cs="宋体"/>
          <w:b w:val="0"/>
          <w:bCs w:val="0"/>
          <w:i w:val="0"/>
          <w:iCs w:val="0"/>
          <w:color w:val="auto"/>
          <w:kern w:val="0"/>
          <w:sz w:val="21"/>
          <w:szCs w:val="21"/>
          <w:highlight w:val="none"/>
          <w:u w:val="single"/>
        </w:rPr>
        <w:sym w:font="Wingdings 2" w:char="00A3"/>
      </w:r>
      <w:r>
        <w:rPr>
          <w:rFonts w:hint="eastAsia" w:ascii="宋体" w:hAnsi="宋体" w:eastAsia="宋体" w:cs="宋体"/>
          <w:b w:val="0"/>
          <w:bCs w:val="0"/>
          <w:i w:val="0"/>
          <w:iCs w:val="0"/>
          <w:color w:val="auto"/>
          <w:kern w:val="0"/>
          <w:sz w:val="21"/>
          <w:szCs w:val="21"/>
          <w:highlight w:val="none"/>
          <w:u w:val="single"/>
          <w:lang w:val="en-US" w:eastAsia="zh-CN"/>
        </w:rPr>
        <w:t>合同暂定总价/</w:t>
      </w:r>
      <w:r>
        <w:rPr>
          <w:rFonts w:hint="eastAsia" w:ascii="宋体" w:hAnsi="宋体" w:eastAsia="宋体" w:cs="宋体"/>
          <w:b w:val="0"/>
          <w:bCs w:val="0"/>
          <w:i w:val="0"/>
          <w:iCs w:val="0"/>
          <w:color w:val="auto"/>
          <w:kern w:val="0"/>
          <w:sz w:val="21"/>
          <w:szCs w:val="21"/>
          <w:highlight w:val="none"/>
          <w:u w:val="single"/>
        </w:rPr>
        <w:sym w:font="Wingdings 2" w:char="00A3"/>
      </w:r>
      <w:r>
        <w:rPr>
          <w:rFonts w:hint="eastAsia" w:ascii="宋体" w:hAnsi="宋体" w:eastAsia="宋体" w:cs="宋体"/>
          <w:b w:val="0"/>
          <w:bCs w:val="0"/>
          <w:i w:val="0"/>
          <w:iCs w:val="0"/>
          <w:color w:val="auto"/>
          <w:kern w:val="0"/>
          <w:sz w:val="21"/>
          <w:szCs w:val="21"/>
          <w:highlight w:val="none"/>
          <w:u w:val="single"/>
          <w:lang w:val="en-US" w:eastAsia="zh-CN"/>
        </w:rPr>
        <w:t>合同总价</w:t>
      </w:r>
      <w:r>
        <w:rPr>
          <w:rFonts w:hint="eastAsia"/>
          <w:b w:val="0"/>
          <w:bCs/>
          <w:highlight w:val="none"/>
        </w:rPr>
        <w:t>20%的违约金和赔偿甲方全部损失，已完工工程无偿归甲方，甲方无需支付工程款；②另行委托其他单位对本工程进行返修，乙方须无条件接受并配合，由此产生的一切费用乙方承担。</w:t>
      </w:r>
    </w:p>
    <w:p>
      <w:pPr>
        <w:snapToGrid w:val="0"/>
        <w:spacing w:line="370" w:lineRule="exact"/>
        <w:ind w:firstLine="420"/>
        <w:textAlignment w:val="baseline"/>
        <w:rPr>
          <w:rFonts w:hint="eastAsia"/>
          <w:b w:val="0"/>
          <w:bCs/>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.3经甲方验核达不到约定质量标准的检验批（分项或分部），甲方有权对乙方按相应检验批的工程量处以相当于</w:t>
      </w:r>
      <w:r>
        <w:rPr>
          <w:rFonts w:hint="eastAsia" w:ascii="宋体" w:hAnsi="宋体" w:eastAsia="宋体" w:cs="宋体"/>
          <w:b w:val="0"/>
          <w:bCs w:val="0"/>
          <w:i w:val="0"/>
          <w:iCs w:val="0"/>
          <w:color w:val="auto"/>
          <w:kern w:val="0"/>
          <w:sz w:val="21"/>
          <w:szCs w:val="21"/>
          <w:highlight w:val="none"/>
          <w:u w:val="single"/>
        </w:rPr>
        <w:sym w:font="Wingdings 2" w:char="00A3"/>
      </w:r>
      <w:r>
        <w:rPr>
          <w:rFonts w:hint="eastAsia" w:ascii="宋体" w:hAnsi="宋体" w:eastAsia="宋体" w:cs="宋体"/>
          <w:b w:val="0"/>
          <w:bCs w:val="0"/>
          <w:i w:val="0"/>
          <w:iCs w:val="0"/>
          <w:color w:val="auto"/>
          <w:kern w:val="0"/>
          <w:sz w:val="21"/>
          <w:szCs w:val="21"/>
          <w:highlight w:val="none"/>
          <w:u w:val="single"/>
          <w:lang w:val="en-US" w:eastAsia="zh-CN"/>
        </w:rPr>
        <w:t>合同暂定总价/</w:t>
      </w:r>
      <w:r>
        <w:rPr>
          <w:rFonts w:hint="eastAsia" w:ascii="宋体" w:hAnsi="宋体" w:eastAsia="宋体" w:cs="宋体"/>
          <w:b w:val="0"/>
          <w:bCs w:val="0"/>
          <w:i w:val="0"/>
          <w:iCs w:val="0"/>
          <w:color w:val="auto"/>
          <w:kern w:val="0"/>
          <w:sz w:val="21"/>
          <w:szCs w:val="21"/>
          <w:highlight w:val="none"/>
          <w:u w:val="single"/>
        </w:rPr>
        <w:sym w:font="Wingdings 2" w:char="00A3"/>
      </w:r>
      <w:r>
        <w:rPr>
          <w:rFonts w:hint="eastAsia" w:ascii="宋体" w:hAnsi="宋体" w:eastAsia="宋体" w:cs="宋体"/>
          <w:b w:val="0"/>
          <w:bCs w:val="0"/>
          <w:i w:val="0"/>
          <w:iCs w:val="0"/>
          <w:color w:val="auto"/>
          <w:kern w:val="0"/>
          <w:sz w:val="21"/>
          <w:szCs w:val="21"/>
          <w:highlight w:val="none"/>
          <w:u w:val="single"/>
          <w:lang w:val="en-US" w:eastAsia="zh-CN"/>
        </w:rPr>
        <w:t>合同总价</w:t>
      </w:r>
      <w:r>
        <w:rPr>
          <w:rFonts w:hint="eastAsia"/>
          <w:b w:val="0"/>
          <w:bCs/>
          <w:highlight w:val="none"/>
        </w:rPr>
        <w:t>5%的违约金处理，如果甲方被政府部门或建设方处罚而需承担违约、赔偿责任或费用的，则由乙方全部承担，同时甲方保留对乙方追偿的权利。</w:t>
      </w:r>
    </w:p>
    <w:p>
      <w:pPr>
        <w:snapToGrid w:val="0"/>
        <w:spacing w:line="370" w:lineRule="exact"/>
        <w:ind w:firstLine="420"/>
        <w:textAlignment w:val="baseline"/>
        <w:rPr>
          <w:rFonts w:hint="eastAsia"/>
          <w:b w:val="0"/>
          <w:bCs/>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.4合同履行期间，因乙方原因造成甲方或本工程或本项目被政府部门停工、整改导致扣分的，按贰万元/分由乙方支付给甲方（甲方亦可从任意合同款中扣款）。</w:t>
      </w:r>
    </w:p>
    <w:p>
      <w:pPr>
        <w:snapToGrid w:val="0"/>
        <w:spacing w:line="370" w:lineRule="exact"/>
        <w:ind w:firstLine="420"/>
        <w:textAlignment w:val="baseline"/>
        <w:rPr>
          <w:rFonts w:hint="eastAsia"/>
          <w:b w:val="0"/>
          <w:bCs/>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.5乙方及其人员、供应商不得以任何理由去政府部门上访、投诉，不得去建设单位投诉、静坐，否则视情节轻重向甲方支付违约金壹万至壹拾万元/次。</w:t>
      </w:r>
    </w:p>
    <w:p>
      <w:pPr>
        <w:snapToGrid w:val="0"/>
        <w:spacing w:line="370" w:lineRule="exact"/>
        <w:ind w:firstLine="420"/>
        <w:textAlignment w:val="baseline"/>
        <w:rPr>
          <w:rFonts w:hint="eastAsia"/>
          <w:b w:val="0"/>
          <w:bCs/>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.6乙方无正当理由停工或不履行合同或拖延工期或不能正常开展工作连续3天以上或无力将本工程顺利开展下去的，甲方有权单方解除合同且对乙方按</w:t>
      </w:r>
      <w:r>
        <w:rPr>
          <w:rFonts w:hint="eastAsia" w:ascii="宋体" w:hAnsi="宋体" w:eastAsia="宋体" w:cs="宋体"/>
          <w:b w:val="0"/>
          <w:bCs w:val="0"/>
          <w:i w:val="0"/>
          <w:iCs w:val="0"/>
          <w:color w:val="auto"/>
          <w:kern w:val="0"/>
          <w:sz w:val="21"/>
          <w:szCs w:val="21"/>
          <w:highlight w:val="none"/>
          <w:u w:val="single"/>
        </w:rPr>
        <w:sym w:font="Wingdings 2" w:char="00A3"/>
      </w:r>
      <w:r>
        <w:rPr>
          <w:rFonts w:hint="eastAsia" w:ascii="宋体" w:hAnsi="宋体" w:eastAsia="宋体" w:cs="宋体"/>
          <w:b w:val="0"/>
          <w:bCs w:val="0"/>
          <w:i w:val="0"/>
          <w:iCs w:val="0"/>
          <w:color w:val="auto"/>
          <w:kern w:val="0"/>
          <w:sz w:val="21"/>
          <w:szCs w:val="21"/>
          <w:highlight w:val="none"/>
          <w:u w:val="single"/>
          <w:lang w:val="en-US" w:eastAsia="zh-CN"/>
        </w:rPr>
        <w:t>合同暂定总价/</w:t>
      </w:r>
      <w:r>
        <w:rPr>
          <w:rFonts w:hint="eastAsia" w:ascii="宋体" w:hAnsi="宋体" w:eastAsia="宋体" w:cs="宋体"/>
          <w:b w:val="0"/>
          <w:bCs w:val="0"/>
          <w:i w:val="0"/>
          <w:iCs w:val="0"/>
          <w:color w:val="auto"/>
          <w:kern w:val="0"/>
          <w:sz w:val="21"/>
          <w:szCs w:val="21"/>
          <w:highlight w:val="none"/>
          <w:u w:val="single"/>
        </w:rPr>
        <w:sym w:font="Wingdings 2" w:char="00A3"/>
      </w:r>
      <w:r>
        <w:rPr>
          <w:rFonts w:hint="eastAsia" w:ascii="宋体" w:hAnsi="宋体" w:eastAsia="宋体" w:cs="宋体"/>
          <w:b w:val="0"/>
          <w:bCs w:val="0"/>
          <w:i w:val="0"/>
          <w:iCs w:val="0"/>
          <w:color w:val="auto"/>
          <w:kern w:val="0"/>
          <w:sz w:val="21"/>
          <w:szCs w:val="21"/>
          <w:highlight w:val="none"/>
          <w:u w:val="single"/>
          <w:lang w:val="en-US" w:eastAsia="zh-CN"/>
        </w:rPr>
        <w:t>合同总价</w:t>
      </w:r>
      <w:r>
        <w:rPr>
          <w:rFonts w:hint="eastAsia"/>
          <w:b w:val="0"/>
          <w:bCs/>
          <w:highlight w:val="none"/>
        </w:rPr>
        <w:t>的20%收取违约金，乙方则按甲方要求限时退场。</w:t>
      </w:r>
    </w:p>
    <w:p>
      <w:pPr>
        <w:snapToGrid w:val="0"/>
        <w:spacing w:line="370" w:lineRule="exact"/>
        <w:ind w:firstLine="420"/>
        <w:textAlignment w:val="baseline"/>
        <w:rPr>
          <w:rFonts w:hint="eastAsia"/>
          <w:b w:val="0"/>
          <w:bCs/>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7乙方未及时发放工人工资或及时支付货款，导致影响甲方或本项目或本工程的，甲方有权对乙方进行处罚，每发生一次劳资纠纷或货款纠纷事件，乙方向甲方另行支付违约金叁万元。若因乙方拖欠工人工资或货款，导致媒体曝光或政府部门介入的，乙方另向甲方支付违约金不少于壹拾万元/次。</w:t>
      </w:r>
    </w:p>
    <w:p>
      <w:pPr>
        <w:snapToGrid w:val="0"/>
        <w:spacing w:line="370" w:lineRule="exact"/>
        <w:ind w:firstLine="420"/>
        <w:textAlignment w:val="baseline"/>
        <w:rPr>
          <w:rFonts w:hint="eastAsia"/>
          <w:b w:val="0"/>
          <w:bCs/>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.8凡乙方发生偷工减料行为，甲方视情节轻重计收乙方贰万至壹拾万元/次违约金。</w:t>
      </w:r>
    </w:p>
    <w:p>
      <w:pPr>
        <w:snapToGrid w:val="0"/>
        <w:spacing w:line="370" w:lineRule="exact"/>
        <w:ind w:firstLine="420"/>
        <w:textAlignment w:val="baseline"/>
        <w:rPr>
          <w:rFonts w:hint="eastAsia"/>
          <w:b w:val="0"/>
          <w:bCs/>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.9乙方出现上述第1</w:t>
      </w:r>
      <w:r>
        <w:rPr>
          <w:rFonts w:hint="eastAsia"/>
          <w:b w:val="0"/>
          <w:bCs/>
          <w:highlight w:val="none"/>
          <w:lang w:val="en-US" w:eastAsia="zh-CN"/>
        </w:rPr>
        <w:t>3</w:t>
      </w:r>
      <w:r>
        <w:rPr>
          <w:rFonts w:hint="eastAsia"/>
          <w:b w:val="0"/>
          <w:bCs/>
          <w:highlight w:val="none"/>
        </w:rPr>
        <w:t>.1-第1</w:t>
      </w:r>
      <w:r>
        <w:rPr>
          <w:rFonts w:hint="eastAsia"/>
          <w:b w:val="0"/>
          <w:bCs/>
          <w:highlight w:val="none"/>
          <w:lang w:val="en-US" w:eastAsia="zh-CN"/>
        </w:rPr>
        <w:t>3</w:t>
      </w:r>
      <w:r>
        <w:rPr>
          <w:rFonts w:hint="eastAsia"/>
          <w:b w:val="0"/>
          <w:bCs/>
          <w:highlight w:val="none"/>
        </w:rPr>
        <w:t>.8条所述任一行为或未履行合同任一义务的，均属违约，乙方除按上述条款承担违约责任外，甲方可随时单方解除本合同，所产生的损失由乙方承担。</w:t>
      </w:r>
    </w:p>
    <w:p>
      <w:pPr>
        <w:snapToGrid w:val="0"/>
        <w:spacing w:line="370" w:lineRule="exact"/>
        <w:ind w:firstLine="420"/>
        <w:textAlignment w:val="baseline"/>
        <w:rPr>
          <w:rFonts w:hint="eastAsia"/>
          <w:b w:val="0"/>
          <w:bCs/>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.10因建设单位、设计变更或非甲方原因导致本合同不能履行的，甲、乙双方互不追究违约责任，同时双方各自承担自身损失。</w:t>
      </w:r>
    </w:p>
    <w:p>
      <w:pPr>
        <w:snapToGrid w:val="0"/>
        <w:spacing w:line="370" w:lineRule="exact"/>
        <w:ind w:firstLine="420"/>
        <w:textAlignment w:val="baseline"/>
        <w:rPr>
          <w:rFonts w:hint="eastAsia"/>
          <w:b w:val="0"/>
          <w:bCs/>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.11乙方不得因停工损失向甲方索赔，同意不追究甲方在本合同履行过程中因付款延迟、停工而产生的违约责任。</w:t>
      </w:r>
    </w:p>
    <w:p>
      <w:pPr>
        <w:snapToGrid w:val="0"/>
        <w:spacing w:line="370" w:lineRule="exact"/>
        <w:ind w:firstLine="420"/>
        <w:textAlignment w:val="baseline"/>
        <w:rPr>
          <w:rFonts w:hint="eastAsia" w:ascii="宋体" w:hAnsi="宋体" w:cs="宋体"/>
          <w:kern w:val="0"/>
          <w:szCs w:val="21"/>
          <w:highlight w:val="none"/>
        </w:rPr>
      </w:pPr>
      <w:r>
        <w:rPr>
          <w:rFonts w:hint="eastAsia"/>
          <w:b w:val="0"/>
          <w:bCs/>
          <w:highlight w:val="none"/>
        </w:rPr>
        <w:t>1</w:t>
      </w:r>
      <w:r>
        <w:rPr>
          <w:rFonts w:hint="eastAsia"/>
          <w:b w:val="0"/>
          <w:bCs/>
          <w:highlight w:val="none"/>
          <w:lang w:val="en-US" w:eastAsia="zh-CN"/>
        </w:rPr>
        <w:t>3</w:t>
      </w:r>
      <w:r>
        <w:rPr>
          <w:rFonts w:hint="eastAsia"/>
          <w:b w:val="0"/>
          <w:bCs/>
          <w:highlight w:val="none"/>
        </w:rPr>
        <w:t>.12甲方有权直接从应付合同款中直接扣除乙方应承担的违约金、罚款等费用，如应付合同款及乙方支付的违约金、罚款不足补偿甲方损失，乙方在甲方通知之日起七个日历天内补齐，且甲方向乙方追偿责任所产生的律师费、诉讼费、鉴定费、财产保全担保费，由乙方全额承担。</w:t>
      </w:r>
    </w:p>
    <w:p>
      <w:pPr>
        <w:snapToGrid w:val="0"/>
        <w:spacing w:line="370" w:lineRule="exact"/>
        <w:ind w:firstLine="420"/>
        <w:textAlignment w:val="baseline"/>
        <w:rPr>
          <w:rFonts w:hint="eastAsia" w:ascii="宋体" w:hAnsi="宋体" w:cs="宋体"/>
          <w:b/>
          <w:bCs/>
          <w:kern w:val="0"/>
          <w:szCs w:val="21"/>
          <w:highlight w:val="none"/>
          <w:u w:val="none"/>
          <w:lang w:val="en-US" w:eastAsia="zh-CN"/>
        </w:rPr>
      </w:pPr>
      <w:r>
        <w:rPr>
          <w:rFonts w:hint="eastAsia" w:ascii="宋体" w:hAnsi="宋体" w:cs="宋体"/>
          <w:b/>
          <w:bCs/>
          <w:kern w:val="0"/>
          <w:szCs w:val="21"/>
          <w:highlight w:val="none"/>
          <w:u w:val="none"/>
          <w:lang w:val="en-US" w:eastAsia="zh-CN"/>
        </w:rPr>
        <w:t>十四、其它：</w:t>
      </w:r>
    </w:p>
    <w:p>
      <w:pPr>
        <w:snapToGrid w:val="0"/>
        <w:spacing w:line="370" w:lineRule="exact"/>
        <w:ind w:firstLine="420"/>
        <w:textAlignment w:val="baseline"/>
        <w:rPr>
          <w:rFonts w:hint="eastAsia" w:ascii="宋体" w:hAnsi="宋体" w:cs="宋体"/>
          <w:b w:val="0"/>
          <w:bCs w:val="0"/>
          <w:kern w:val="0"/>
          <w:szCs w:val="21"/>
          <w:highlight w:val="none"/>
          <w:u w:val="none"/>
          <w:lang w:val="en-US" w:eastAsia="zh-CN"/>
        </w:rPr>
      </w:pPr>
      <w:r>
        <w:rPr>
          <w:rFonts w:hint="eastAsia"/>
          <w:b w:val="0"/>
          <w:bCs/>
          <w:highlight w:val="none"/>
          <w:lang w:val="en-US" w:eastAsia="zh-CN"/>
        </w:rPr>
        <w:t>14.1</w:t>
      </w:r>
      <w:r>
        <w:rPr>
          <w:rFonts w:hint="eastAsia" w:ascii="宋体" w:hAnsi="宋体" w:cs="宋体"/>
          <w:b w:val="0"/>
          <w:bCs w:val="0"/>
          <w:kern w:val="0"/>
          <w:szCs w:val="21"/>
          <w:highlight w:val="none"/>
          <w:u w:val="none"/>
          <w:lang w:val="en-US" w:eastAsia="zh-CN"/>
        </w:rPr>
        <w:t>本合同书自双方法定代表人或其授权人签字并加盖公章（或合同专用章）之日起生效，双方履行完各自义务、责任之日起终止。</w:t>
      </w:r>
    </w:p>
    <w:p>
      <w:pPr>
        <w:snapToGrid w:val="0"/>
        <w:spacing w:line="370" w:lineRule="exact"/>
        <w:ind w:firstLine="420"/>
        <w:textAlignment w:val="baseline"/>
        <w:rPr>
          <w:rFonts w:hint="eastAsia" w:ascii="宋体" w:hAnsi="宋体" w:cs="宋体"/>
          <w:b w:val="0"/>
          <w:bCs w:val="0"/>
          <w:kern w:val="0"/>
          <w:szCs w:val="21"/>
          <w:highlight w:val="none"/>
          <w:u w:val="none"/>
          <w:lang w:val="en-US" w:eastAsia="zh-CN"/>
        </w:rPr>
      </w:pPr>
      <w:r>
        <w:rPr>
          <w:rFonts w:hint="eastAsia"/>
          <w:b w:val="0"/>
          <w:bCs/>
          <w:highlight w:val="none"/>
          <w:lang w:val="en-US" w:eastAsia="zh-CN"/>
        </w:rPr>
        <w:t>14.2</w:t>
      </w:r>
      <w:r>
        <w:rPr>
          <w:rFonts w:hint="eastAsia" w:ascii="宋体" w:hAnsi="宋体" w:cs="宋体"/>
          <w:b w:val="0"/>
          <w:bCs w:val="0"/>
          <w:kern w:val="0"/>
          <w:szCs w:val="21"/>
          <w:highlight w:val="none"/>
          <w:u w:val="none"/>
          <w:lang w:val="en-US" w:eastAsia="zh-CN"/>
        </w:rPr>
        <w:t>除本合同有约定外，甲乙双方不得随意变更或更改合同。本合同未尽事宜，须经双方共同协商一致后作出补充协议明确，补充协议与本合同具有同等法律效力。</w:t>
      </w:r>
    </w:p>
    <w:p>
      <w:pPr>
        <w:snapToGrid w:val="0"/>
        <w:spacing w:line="370" w:lineRule="exact"/>
        <w:ind w:firstLine="420"/>
        <w:textAlignment w:val="baseline"/>
        <w:rPr>
          <w:rFonts w:hint="eastAsia" w:ascii="宋体" w:hAnsi="宋体" w:cs="宋体"/>
          <w:b w:val="0"/>
          <w:bCs w:val="0"/>
          <w:kern w:val="0"/>
          <w:szCs w:val="21"/>
          <w:highlight w:val="none"/>
          <w:u w:val="none"/>
          <w:lang w:val="en-US" w:eastAsia="zh-CN"/>
        </w:rPr>
      </w:pPr>
      <w:r>
        <w:rPr>
          <w:rFonts w:hint="eastAsia"/>
          <w:b w:val="0"/>
          <w:bCs/>
          <w:highlight w:val="none"/>
          <w:lang w:val="en-US" w:eastAsia="zh-CN"/>
        </w:rPr>
        <w:t>14.3</w:t>
      </w:r>
      <w:r>
        <w:rPr>
          <w:rFonts w:hint="eastAsia"/>
          <w:szCs w:val="22"/>
          <w:highlight w:val="none"/>
          <w:lang w:val="en-US" w:eastAsia="zh-CN"/>
        </w:rPr>
        <w:t>甲</w:t>
      </w:r>
      <w:r>
        <w:rPr>
          <w:rFonts w:hint="eastAsia" w:ascii="宋体" w:hAnsi="宋体" w:cs="宋体"/>
          <w:szCs w:val="21"/>
          <w:highlight w:val="none"/>
        </w:rPr>
        <w:t>方指定</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李建和</w:t>
      </w:r>
      <w:r>
        <w:rPr>
          <w:rFonts w:hint="eastAsia" w:ascii="宋体" w:hAnsi="宋体" w:cs="宋体"/>
          <w:szCs w:val="21"/>
          <w:highlight w:val="none"/>
          <w:u w:val="single"/>
        </w:rPr>
        <w:t xml:space="preserve"> </w:t>
      </w:r>
      <w:r>
        <w:rPr>
          <w:rFonts w:hint="eastAsia" w:ascii="宋体" w:hAnsi="宋体" w:cs="宋体"/>
          <w:szCs w:val="21"/>
          <w:highlight w:val="none"/>
        </w:rPr>
        <w:t>为本合同的甲方执行联系人，联系电话：</w:t>
      </w:r>
      <w:r>
        <w:rPr>
          <w:rFonts w:hint="eastAsia" w:ascii="宋体" w:hAnsi="宋体" w:cs="宋体"/>
          <w:highlight w:val="none"/>
          <w:u w:val="single"/>
          <w:lang w:val="en-US" w:eastAsia="zh-CN"/>
        </w:rPr>
        <w:t xml:space="preserve"> 13549239199 </w:t>
      </w:r>
      <w:r>
        <w:rPr>
          <w:rFonts w:hint="eastAsia" w:ascii="宋体" w:hAnsi="宋体" w:cs="宋体"/>
          <w:szCs w:val="21"/>
          <w:highlight w:val="none"/>
        </w:rPr>
        <w:t>，</w:t>
      </w:r>
      <w:r>
        <w:rPr>
          <w:rFonts w:hint="eastAsia" w:ascii="宋体" w:hAnsi="宋体" w:cs="宋体"/>
          <w:b w:val="0"/>
          <w:bCs w:val="0"/>
          <w:kern w:val="0"/>
          <w:szCs w:val="21"/>
          <w:highlight w:val="none"/>
          <w:u w:val="none"/>
          <w:lang w:val="en-US" w:eastAsia="zh-CN"/>
        </w:rPr>
        <w:t>未经甲方加盖公章确认，甲方执行联系人、签约代表及其他职员均无权代表甲方做出减损、放弃甲方权利或增加甲方义务的行为。乙方指定</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（身份证号码：</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；手机号码：</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w:t>
      </w:r>
      <w:r>
        <w:rPr>
          <w:rFonts w:hint="eastAsia" w:ascii="宋体" w:hAnsi="宋体" w:cs="宋体"/>
          <w:b w:val="0"/>
          <w:bCs w:val="0"/>
          <w:kern w:val="0"/>
          <w:szCs w:val="21"/>
          <w:highlight w:val="none"/>
          <w:u w:val="none"/>
          <w:lang w:val="en-US" w:eastAsia="zh-CN"/>
        </w:rPr>
        <w:t>作为其授权代表，在本合同有效期内执行与本合同履行有关的事项。乙方授权代表以乙方的名义处理本合同相关的一切事务，乙方对其行为均予认可并承担一切责任。乙方如需更换授权代表，应提前三个工作日以书面形式通知甲方。</w:t>
      </w:r>
    </w:p>
    <w:p>
      <w:pPr>
        <w:snapToGrid w:val="0"/>
        <w:spacing w:line="370" w:lineRule="exact"/>
        <w:ind w:firstLine="420"/>
        <w:textAlignment w:val="baseline"/>
        <w:rPr>
          <w:rFonts w:hint="eastAsia" w:ascii="宋体" w:hAnsi="宋体" w:cs="宋体"/>
          <w:b w:val="0"/>
          <w:bCs w:val="0"/>
          <w:kern w:val="0"/>
          <w:szCs w:val="21"/>
          <w:highlight w:val="none"/>
          <w:u w:val="none"/>
          <w:lang w:val="en-US" w:eastAsia="zh-CN"/>
        </w:rPr>
      </w:pPr>
      <w:r>
        <w:rPr>
          <w:rFonts w:hint="eastAsia"/>
          <w:b w:val="0"/>
          <w:bCs/>
          <w:highlight w:val="none"/>
          <w:lang w:val="en-US" w:eastAsia="zh-CN"/>
        </w:rPr>
        <w:t>14.4</w:t>
      </w:r>
      <w:r>
        <w:rPr>
          <w:rFonts w:hint="eastAsia" w:ascii="宋体" w:hAnsi="宋体" w:cs="宋体"/>
          <w:b w:val="0"/>
          <w:bCs w:val="0"/>
          <w:kern w:val="0"/>
          <w:szCs w:val="21"/>
          <w:highlight w:val="none"/>
          <w:u w:val="none"/>
          <w:lang w:val="en-US" w:eastAsia="zh-CN"/>
        </w:rPr>
        <w:t>执行合同时发生的或与合同有关的一切争议，甲乙双方应友好协商解决，如协商不成，则提交甲方所在地的人民法院诉讼解决。</w:t>
      </w:r>
    </w:p>
    <w:p>
      <w:pPr>
        <w:snapToGrid w:val="0"/>
        <w:spacing w:line="370" w:lineRule="exact"/>
        <w:ind w:firstLine="420"/>
        <w:textAlignment w:val="baseline"/>
        <w:rPr>
          <w:rFonts w:hint="eastAsia" w:ascii="宋体" w:hAnsi="宋体" w:cs="宋体"/>
          <w:b w:val="0"/>
          <w:bCs w:val="0"/>
          <w:kern w:val="0"/>
          <w:szCs w:val="21"/>
          <w:highlight w:val="none"/>
          <w:u w:val="none"/>
          <w:lang w:val="en-US" w:eastAsia="zh-CN"/>
        </w:rPr>
      </w:pPr>
      <w:r>
        <w:rPr>
          <w:rFonts w:hint="eastAsia"/>
          <w:b w:val="0"/>
          <w:bCs/>
          <w:highlight w:val="none"/>
          <w:lang w:val="en-US" w:eastAsia="zh-CN"/>
        </w:rPr>
        <w:t>14.5</w:t>
      </w:r>
      <w:r>
        <w:rPr>
          <w:rFonts w:hint="eastAsia" w:ascii="宋体" w:hAnsi="宋体" w:cs="宋体"/>
          <w:b w:val="0"/>
          <w:bCs w:val="0"/>
          <w:kern w:val="0"/>
          <w:szCs w:val="21"/>
          <w:highlight w:val="none"/>
          <w:u w:val="none"/>
          <w:lang w:val="en-US" w:eastAsia="zh-CN"/>
        </w:rPr>
        <w:t>本合同一式二份，甲方一份，乙方一份，均具同等法律效力。</w:t>
      </w:r>
    </w:p>
    <w:p>
      <w:pPr>
        <w:snapToGrid w:val="0"/>
        <w:spacing w:line="370" w:lineRule="exact"/>
        <w:ind w:firstLine="420"/>
        <w:textAlignment w:val="baseline"/>
        <w:rPr>
          <w:rFonts w:hint="eastAsia" w:ascii="宋体" w:hAnsi="宋体" w:cs="宋体"/>
          <w:b w:val="0"/>
          <w:bCs w:val="0"/>
          <w:kern w:val="0"/>
          <w:szCs w:val="21"/>
          <w:highlight w:val="none"/>
          <w:u w:val="none"/>
          <w:lang w:val="en-US" w:eastAsia="zh-CN"/>
        </w:rPr>
      </w:pPr>
      <w:r>
        <w:rPr>
          <w:rFonts w:hint="eastAsia"/>
          <w:b w:val="0"/>
          <w:bCs/>
          <w:highlight w:val="none"/>
          <w:lang w:val="en-US" w:eastAsia="zh-CN"/>
        </w:rPr>
        <w:t>14.6廉</w:t>
      </w:r>
      <w:r>
        <w:rPr>
          <w:rFonts w:hint="eastAsia" w:ascii="宋体" w:hAnsi="宋体" w:cs="宋体"/>
          <w:b w:val="0"/>
          <w:bCs w:val="0"/>
          <w:kern w:val="0"/>
          <w:szCs w:val="21"/>
          <w:highlight w:val="none"/>
          <w:u w:val="none"/>
          <w:lang w:val="en-US" w:eastAsia="zh-CN"/>
        </w:rPr>
        <w:t>洁条款</w:t>
      </w:r>
    </w:p>
    <w:p>
      <w:pPr>
        <w:snapToGrid w:val="0"/>
        <w:spacing w:line="370" w:lineRule="exact"/>
        <w:ind w:firstLine="420"/>
        <w:textAlignment w:val="baseline"/>
        <w:rPr>
          <w:rFonts w:hint="eastAsia" w:ascii="宋体" w:hAnsi="宋体" w:cs="宋体"/>
          <w:b w:val="0"/>
          <w:bCs w:val="0"/>
          <w:kern w:val="0"/>
          <w:szCs w:val="21"/>
          <w:highlight w:val="none"/>
          <w:u w:val="none"/>
          <w:lang w:val="en-US" w:eastAsia="zh-CN"/>
        </w:rPr>
      </w:pPr>
      <w:r>
        <w:rPr>
          <w:rFonts w:hint="eastAsia"/>
          <w:b w:val="0"/>
          <w:bCs/>
          <w:highlight w:val="none"/>
          <w:lang w:val="en-US" w:eastAsia="zh-CN"/>
        </w:rPr>
        <w:t>14.6.1乙</w:t>
      </w:r>
      <w:r>
        <w:rPr>
          <w:rFonts w:hint="eastAsia" w:ascii="宋体" w:hAnsi="宋体" w:cs="宋体"/>
          <w:b w:val="0"/>
          <w:bCs w:val="0"/>
          <w:kern w:val="0"/>
          <w:szCs w:val="21"/>
          <w:highlight w:val="none"/>
          <w:u w:val="none"/>
          <w:lang w:val="en-US" w:eastAsia="zh-CN"/>
        </w:rPr>
        <w:t>方在与甲方合作期间（包括本工程招标、签订、履行期间），不得向甲方职员提供请吃、送礼、旅游、色情服务、行贿、回扣或其他好处，如有违反，乙方每次向甲方支付合同暂定总价的10％作为违约金（甲方可从任意一笔合同款中扣款），造成甲方经济或其他损失的，乙方全额赔偿。</w:t>
      </w:r>
    </w:p>
    <w:p>
      <w:pPr>
        <w:snapToGrid w:val="0"/>
        <w:spacing w:line="370" w:lineRule="exact"/>
        <w:ind w:firstLine="420"/>
        <w:textAlignment w:val="baseline"/>
        <w:rPr>
          <w:rFonts w:hint="eastAsia" w:ascii="宋体" w:hAnsi="宋体" w:cs="宋体"/>
          <w:b w:val="0"/>
          <w:bCs w:val="0"/>
          <w:kern w:val="0"/>
          <w:szCs w:val="21"/>
          <w:highlight w:val="none"/>
          <w:u w:val="none"/>
          <w:lang w:val="en-US" w:eastAsia="zh-CN"/>
        </w:rPr>
      </w:pPr>
      <w:r>
        <w:rPr>
          <w:rFonts w:hint="eastAsia"/>
          <w:b w:val="0"/>
          <w:bCs/>
          <w:highlight w:val="none"/>
          <w:lang w:val="en-US" w:eastAsia="zh-CN"/>
        </w:rPr>
        <w:t>14.6.2甲、乙双方管理人员有权拒绝执行合同以外的违法要求。甲方发现乙方向甲方人员或甲方委托的其他</w:t>
      </w:r>
      <w:r>
        <w:rPr>
          <w:rFonts w:hint="eastAsia" w:ascii="宋体" w:hAnsi="宋体" w:cs="宋体"/>
          <w:b w:val="0"/>
          <w:bCs w:val="0"/>
          <w:kern w:val="0"/>
          <w:szCs w:val="21"/>
          <w:highlight w:val="none"/>
          <w:u w:val="none"/>
          <w:lang w:val="en-US" w:eastAsia="zh-CN"/>
        </w:rPr>
        <w:t>人员行贿或输送不正当利益的，甲方有权对乙方进行处罚并单方解除合同，对所发生的工程量/工作量不予结算及不支付费用。</w:t>
      </w:r>
    </w:p>
    <w:p>
      <w:pPr>
        <w:snapToGrid w:val="0"/>
        <w:spacing w:line="370" w:lineRule="exact"/>
        <w:ind w:firstLine="420"/>
        <w:textAlignment w:val="baseline"/>
        <w:rPr>
          <w:rFonts w:hint="eastAsia" w:ascii="宋体" w:hAnsi="宋体" w:cs="宋体"/>
          <w:b w:val="0"/>
          <w:bCs w:val="0"/>
          <w:kern w:val="0"/>
          <w:szCs w:val="21"/>
          <w:highlight w:val="none"/>
          <w:u w:val="none"/>
          <w:lang w:val="en-US" w:eastAsia="zh-CN"/>
        </w:rPr>
      </w:pPr>
      <w:r>
        <w:rPr>
          <w:rFonts w:hint="eastAsia"/>
          <w:b w:val="0"/>
          <w:bCs/>
          <w:highlight w:val="none"/>
          <w:lang w:val="en-US" w:eastAsia="zh-CN"/>
        </w:rPr>
        <w:t>14.7甲方</w:t>
      </w:r>
      <w:r>
        <w:rPr>
          <w:rFonts w:hint="eastAsia" w:ascii="宋体" w:hAnsi="宋体" w:cs="宋体"/>
          <w:b w:val="0"/>
          <w:bCs w:val="0"/>
          <w:kern w:val="0"/>
          <w:szCs w:val="21"/>
          <w:highlight w:val="none"/>
          <w:u w:val="none"/>
          <w:lang w:val="en-US" w:eastAsia="zh-CN"/>
        </w:rPr>
        <w:t>因参与本合同履行而发出、或与乙方达成合意所形成的一切相关文件，均须同时具备甲方公章及法定代表人（或授权代表人）签名，否则均不对甲方产生约束力，除非事后获得甲方另行追认。</w:t>
      </w:r>
    </w:p>
    <w:p>
      <w:pPr>
        <w:snapToGrid w:val="0"/>
        <w:spacing w:line="370" w:lineRule="exact"/>
        <w:ind w:firstLine="420"/>
        <w:textAlignment w:val="baseline"/>
        <w:rPr>
          <w:rFonts w:hint="eastAsia" w:ascii="宋体" w:hAnsi="宋体" w:cs="宋体"/>
          <w:b w:val="0"/>
          <w:bCs w:val="0"/>
          <w:kern w:val="0"/>
          <w:szCs w:val="21"/>
          <w:highlight w:val="none"/>
          <w:u w:val="none"/>
          <w:lang w:val="en-US" w:eastAsia="zh-CN"/>
        </w:rPr>
      </w:pPr>
      <w:r>
        <w:rPr>
          <w:rFonts w:hint="eastAsia"/>
          <w:b w:val="0"/>
          <w:bCs/>
          <w:highlight w:val="none"/>
          <w:lang w:val="en-US" w:eastAsia="zh-CN"/>
        </w:rPr>
        <w:t>14.8本合同</w:t>
      </w:r>
      <w:r>
        <w:rPr>
          <w:rFonts w:hint="eastAsia" w:ascii="宋体" w:hAnsi="宋体" w:cs="宋体"/>
          <w:b w:val="0"/>
          <w:bCs w:val="0"/>
          <w:kern w:val="0"/>
          <w:szCs w:val="21"/>
          <w:highlight w:val="none"/>
          <w:u w:val="none"/>
          <w:lang w:val="en-US" w:eastAsia="zh-CN"/>
        </w:rPr>
        <w:t>履行过程中，乙方如进行企业名称变更，须及时书面通知甲方并随附工商登记主管部门核发的相应证明文件，否则甲方有权中止合同付款义务，直至乙方就该变更事宜提交有效证明文件并配合甲方完成对乙方主体身份的核验。本合同履行过程中，如乙方主体被工商登记主管部门注销，甲方有权不履行合同付款义务且无须承担任何违约责任。</w:t>
      </w:r>
    </w:p>
    <w:p>
      <w:pPr>
        <w:snapToGrid w:val="0"/>
        <w:spacing w:line="370" w:lineRule="exact"/>
        <w:ind w:firstLine="420"/>
        <w:textAlignment w:val="baseline"/>
        <w:rPr>
          <w:rFonts w:hint="default" w:ascii="宋体" w:hAnsi="宋体" w:cs="宋体"/>
          <w:b w:val="0"/>
          <w:bCs w:val="0"/>
          <w:kern w:val="0"/>
          <w:szCs w:val="21"/>
          <w:highlight w:val="none"/>
          <w:u w:val="none"/>
          <w:lang w:val="en-US" w:eastAsia="zh-CN"/>
        </w:rPr>
      </w:pPr>
      <w:r>
        <w:rPr>
          <w:rFonts w:hint="eastAsia"/>
          <w:b w:val="0"/>
          <w:bCs/>
          <w:highlight w:val="none"/>
          <w:lang w:val="en-US" w:eastAsia="zh-CN"/>
        </w:rPr>
        <w:t>14.9甲方</w:t>
      </w:r>
      <w:r>
        <w:rPr>
          <w:rFonts w:hint="eastAsia"/>
          <w:szCs w:val="22"/>
          <w:highlight w:val="none"/>
        </w:rPr>
        <w:t>制</w:t>
      </w:r>
      <w:r>
        <w:rPr>
          <w:rFonts w:hint="eastAsia"/>
          <w:szCs w:val="22"/>
          <w:highlight w:val="none"/>
          <w:lang w:eastAsia="zh-CN"/>
        </w:rPr>
        <w:t>定</w:t>
      </w:r>
      <w:r>
        <w:rPr>
          <w:rFonts w:hint="eastAsia"/>
          <w:szCs w:val="22"/>
          <w:highlight w:val="none"/>
        </w:rPr>
        <w:t>的《施工交楼标准》、《标准化施工细则》、《常见建筑工程质量通病的标准化施工细则》为本合同不可分割的组成部分，与合同正文具有同等效力，乙方同意照章施工。</w:t>
      </w:r>
    </w:p>
    <w:p>
      <w:pPr>
        <w:keepNext w:val="0"/>
        <w:keepLines w:val="0"/>
        <w:pageBreakBefore w:val="0"/>
        <w:widowControl w:val="0"/>
        <w:kinsoku/>
        <w:wordWrap/>
        <w:overflowPunct/>
        <w:topLinePunct w:val="0"/>
        <w:autoSpaceDE/>
        <w:autoSpaceDN/>
        <w:bidi w:val="0"/>
        <w:adjustRightInd/>
        <w:snapToGrid/>
        <w:spacing w:line="310" w:lineRule="exact"/>
        <w:ind w:right="0" w:rightChars="0"/>
        <w:jc w:val="both"/>
        <w:textAlignment w:val="auto"/>
        <w:outlineLvl w:val="9"/>
        <w:rPr>
          <w:rFonts w:hint="eastAsia" w:ascii="宋体" w:hAnsi="宋体"/>
          <w:b/>
          <w:szCs w:val="21"/>
          <w:highlight w:val="none"/>
          <w:lang w:eastAsia="zh-CN"/>
        </w:rPr>
      </w:pPr>
    </w:p>
    <w:p>
      <w:pPr>
        <w:spacing w:line="350" w:lineRule="exact"/>
        <w:ind w:firstLine="420" w:firstLineChars="200"/>
        <w:rPr>
          <w:rFonts w:hint="eastAsia" w:cs="Times New Roman"/>
          <w:highlight w:val="none"/>
          <w:lang w:val="en-US" w:eastAsia="zh-CN"/>
        </w:rPr>
      </w:pPr>
      <w:r>
        <w:rPr>
          <w:rFonts w:hint="eastAsia" w:cs="Times New Roman"/>
          <w:highlight w:val="none"/>
          <w:lang w:val="en-US" w:eastAsia="zh-CN"/>
        </w:rPr>
        <w:t>（以下无正文）</w:t>
      </w:r>
    </w:p>
    <w:p>
      <w:pPr>
        <w:spacing w:line="350" w:lineRule="exact"/>
        <w:ind w:firstLine="420" w:firstLineChars="200"/>
        <w:rPr>
          <w:rFonts w:hint="eastAsia" w:cs="Times New Roman"/>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甲方(盖章): 东莞市中泰建安工程有限公司          乙方(盖章): </w:t>
      </w:r>
    </w:p>
    <w:p>
      <w:pPr>
        <w:keepNext w:val="0"/>
        <w:keepLines w:val="0"/>
        <w:pageBreakBefore w:val="0"/>
        <w:widowControl w:val="0"/>
        <w:kinsoku/>
        <w:wordWrap/>
        <w:overflowPunct/>
        <w:topLinePunct w:val="0"/>
        <w:autoSpaceDE/>
        <w:autoSpaceDN/>
        <w:bidi w:val="0"/>
        <w:adjustRightInd w:val="0"/>
        <w:snapToGrid w:val="0"/>
        <w:spacing w:line="240" w:lineRule="auto"/>
        <w:rPr>
          <w:rFonts w:hint="eastAsia" w:ascii="宋体" w:hAnsi="宋体" w:cs="宋体"/>
          <w:b/>
          <w:bCs/>
          <w:color w:val="auto"/>
          <w:szCs w:val="21"/>
          <w:highlight w:val="none"/>
        </w:rPr>
      </w:pPr>
    </w:p>
    <w:p>
      <w:pPr>
        <w:keepNext w:val="0"/>
        <w:keepLines w:val="0"/>
        <w:pageBreakBefore w:val="0"/>
        <w:widowControl w:val="0"/>
        <w:kinsoku/>
        <w:wordWrap/>
        <w:overflowPunct/>
        <w:topLinePunct w:val="0"/>
        <w:autoSpaceDE/>
        <w:autoSpaceDN/>
        <w:bidi w:val="0"/>
        <w:adjustRightInd w:val="0"/>
        <w:snapToGrid w:val="0"/>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签约代表人:                                     签约代表人:  </w:t>
      </w:r>
    </w:p>
    <w:p>
      <w:pPr>
        <w:keepNext w:val="0"/>
        <w:keepLines w:val="0"/>
        <w:pageBreakBefore w:val="0"/>
        <w:widowControl w:val="0"/>
        <w:kinsoku/>
        <w:wordWrap/>
        <w:overflowPunct/>
        <w:topLinePunct w:val="0"/>
        <w:autoSpaceDE/>
        <w:autoSpaceDN/>
        <w:bidi w:val="0"/>
        <w:adjustRightInd w:val="0"/>
        <w:snapToGrid w:val="0"/>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纳税号：91441900732168546R                      纳税号：</w:t>
      </w:r>
    </w:p>
    <w:p>
      <w:pPr>
        <w:keepNext w:val="0"/>
        <w:keepLines w:val="0"/>
        <w:pageBreakBefore w:val="0"/>
        <w:widowControl w:val="0"/>
        <w:kinsoku/>
        <w:wordWrap/>
        <w:overflowPunct/>
        <w:topLinePunct w:val="0"/>
        <w:autoSpaceDE/>
        <w:autoSpaceDN/>
        <w:bidi w:val="0"/>
        <w:adjustRightInd w:val="0"/>
        <w:snapToGrid w:val="0"/>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账  号：106001512010006060                      账  号：</w:t>
      </w:r>
    </w:p>
    <w:p>
      <w:pPr>
        <w:keepNext w:val="0"/>
        <w:keepLines w:val="0"/>
        <w:pageBreakBefore w:val="0"/>
        <w:widowControl w:val="0"/>
        <w:kinsoku/>
        <w:wordWrap/>
        <w:overflowPunct/>
        <w:topLinePunct w:val="0"/>
        <w:autoSpaceDE/>
        <w:autoSpaceDN/>
        <w:bidi w:val="0"/>
        <w:adjustRightInd w:val="0"/>
        <w:snapToGrid w:val="0"/>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开户行：广发行东莞分行营业部                    开户行：</w:t>
      </w:r>
    </w:p>
    <w:p>
      <w:pPr>
        <w:keepNext w:val="0"/>
        <w:keepLines w:val="0"/>
        <w:pageBreakBefore w:val="0"/>
        <w:widowControl w:val="0"/>
        <w:kinsoku/>
        <w:wordWrap/>
        <w:overflowPunct/>
        <w:topLinePunct w:val="0"/>
        <w:autoSpaceDE/>
        <w:autoSpaceDN/>
        <w:bidi w:val="0"/>
        <w:adjustRightInd w:val="0"/>
        <w:snapToGrid w:val="0"/>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地  址：</w:t>
      </w:r>
      <w:r>
        <w:rPr>
          <w:rFonts w:hint="eastAsia" w:ascii="宋体" w:hAnsi="宋体" w:cs="宋体"/>
          <w:b/>
          <w:bCs/>
          <w:color w:val="auto"/>
          <w:sz w:val="16"/>
          <w:szCs w:val="16"/>
          <w:highlight w:val="none"/>
        </w:rPr>
        <w:t>广东省东莞市南城街道鸿福路106号1栋1712室01</w:t>
      </w:r>
      <w:r>
        <w:rPr>
          <w:rFonts w:hint="eastAsia" w:ascii="宋体" w:hAnsi="宋体" w:cs="宋体"/>
          <w:b/>
          <w:bCs/>
          <w:color w:val="auto"/>
          <w:szCs w:val="21"/>
          <w:highlight w:val="none"/>
        </w:rPr>
        <w:t xml:space="preserve">     地  址：</w:t>
      </w:r>
    </w:p>
    <w:p>
      <w:pPr>
        <w:keepNext w:val="0"/>
        <w:keepLines w:val="0"/>
        <w:pageBreakBefore w:val="0"/>
        <w:widowControl w:val="0"/>
        <w:kinsoku/>
        <w:wordWrap/>
        <w:overflowPunct/>
        <w:topLinePunct w:val="0"/>
        <w:autoSpaceDE/>
        <w:autoSpaceDN/>
        <w:bidi w:val="0"/>
        <w:adjustRightInd w:val="0"/>
        <w:snapToGrid w:val="0"/>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电  话：0769-22909558                           电  话：</w:t>
      </w:r>
    </w:p>
    <w:p>
      <w:pPr>
        <w:keepNext w:val="0"/>
        <w:keepLines w:val="0"/>
        <w:pageBreakBefore w:val="0"/>
        <w:widowControl w:val="0"/>
        <w:kinsoku/>
        <w:wordWrap/>
        <w:overflowPunct/>
        <w:topLinePunct w:val="0"/>
        <w:autoSpaceDE/>
        <w:autoSpaceDN/>
        <w:bidi w:val="0"/>
        <w:adjustRightInd w:val="0"/>
        <w:snapToGrid w:val="0"/>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签约日期：202</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年</w:t>
      </w:r>
      <w:r>
        <w:rPr>
          <w:rFonts w:hint="eastAsia" w:ascii="宋体" w:hAnsi="宋体" w:cs="宋体"/>
          <w:b/>
          <w:bCs/>
          <w:color w:val="auto"/>
          <w:szCs w:val="21"/>
          <w:highlight w:val="none"/>
          <w:lang w:val="en-US" w:eastAsia="zh-CN"/>
        </w:rPr>
        <w:t>4</w:t>
      </w:r>
      <w:r>
        <w:rPr>
          <w:rFonts w:hint="eastAsia" w:ascii="宋体" w:hAnsi="宋体" w:cs="宋体"/>
          <w:b/>
          <w:bCs/>
          <w:color w:val="auto"/>
          <w:szCs w:val="21"/>
          <w:highlight w:val="none"/>
        </w:rPr>
        <w:t xml:space="preserve">月   日   </w:t>
      </w:r>
      <w:bookmarkStart w:id="0" w:name="_GoBack"/>
      <w:bookmarkEnd w:id="0"/>
      <w:r>
        <w:rPr>
          <w:rFonts w:hint="eastAsia" w:ascii="宋体" w:hAnsi="宋体" w:cs="宋体"/>
          <w:b/>
          <w:bCs/>
          <w:color w:val="auto"/>
          <w:szCs w:val="21"/>
          <w:highlight w:val="none"/>
        </w:rPr>
        <w:t xml:space="preserve">                 </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签约地点：东莞南城</w:t>
      </w:r>
    </w:p>
    <w:p>
      <w:pPr>
        <w:keepNext w:val="0"/>
        <w:keepLines w:val="0"/>
        <w:pageBreakBefore w:val="0"/>
        <w:widowControl w:val="0"/>
        <w:kinsoku/>
        <w:wordWrap/>
        <w:overflowPunct/>
        <w:topLinePunct w:val="0"/>
        <w:autoSpaceDE/>
        <w:autoSpaceDN/>
        <w:bidi w:val="0"/>
        <w:adjustRightInd w:val="0"/>
        <w:snapToGrid w:val="0"/>
        <w:spacing w:line="240" w:lineRule="auto"/>
        <w:rPr>
          <w:rFonts w:hint="eastAsia" w:ascii="宋体" w:hAnsi="宋体" w:cs="宋体"/>
          <w:b/>
          <w:bCs/>
          <w:color w:val="auto"/>
          <w:szCs w:val="21"/>
          <w:highlight w:val="none"/>
        </w:rPr>
      </w:pPr>
    </w:p>
    <w:p>
      <w:pPr>
        <w:pStyle w:val="6"/>
        <w:spacing w:line="312" w:lineRule="auto"/>
        <w:ind w:left="-2" w:leftChars="-1" w:rightChars="-171" w:firstLine="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（甲方人员如有营私舞弊、吃拿卡要等损害乙方合法权益的行为，请拨打专线18688665878投诉）</w:t>
      </w:r>
    </w:p>
    <w:sectPr>
      <w:headerReference r:id="rId3" w:type="default"/>
      <w:footerReference r:id="rId4" w:type="default"/>
      <w:pgSz w:w="11906" w:h="16838"/>
      <w:pgMar w:top="-1020" w:right="913" w:bottom="1020" w:left="91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Wingdings 2">
    <w:panose1 w:val="05020102010507070707"/>
    <w:charset w:val="00"/>
    <w:family w:val="auto"/>
    <w:pitch w:val="default"/>
    <w:sig w:usb0="00000000" w:usb1="00000000" w:usb2="00000000" w:usb3="00000000" w:csb0="80000000"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5</w:t>
                          </w:r>
                          <w:r>
                            <w:rPr>
                              <w:rFonts w:hint="eastAsia"/>
                              <w:sz w:val="18"/>
                            </w:rPr>
                            <w:fldChar w:fldCharType="end"/>
                          </w:r>
                          <w:r>
                            <w:rPr>
                              <w:rFonts w:hint="eastAsia"/>
                              <w:sz w:val="18"/>
                            </w:rPr>
                            <w:t xml:space="preserve"> 页</w:t>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CuSp2zRAQAAogMAAA4AAAAAAAAAAQAgAAAAHgEAAGRy&#10;cy9lMm9Eb2MueG1sUEsFBgAAAAAGAAYAWQEAAGEFAAAAAA==&#10;">
              <v:fill on="f" focussize="0,0"/>
              <v:stroke on="f"/>
              <v:imagedata o:title=""/>
              <o:lock v:ext="edit" aspectratio="f"/>
              <v:textbox inset="0mm,0mm,0mm,0mm" style="mso-fit-shape-to-text:t;">
                <w:txbxContent>
                  <w:p>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5</w:t>
                    </w:r>
                    <w:r>
                      <w:rPr>
                        <w:rFonts w:hint="eastAsia"/>
                        <w:sz w:val="18"/>
                      </w:rPr>
                      <w:fldChar w:fldCharType="end"/>
                    </w:r>
                    <w:r>
                      <w:rPr>
                        <w:rFonts w:hint="eastAsia"/>
                        <w:sz w:val="1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jc w:val="both"/>
      <w:rPr>
        <w:rFonts w:hint="eastAsia"/>
        <w:i/>
      </w:rPr>
    </w:pPr>
    <w:r>
      <w:rPr>
        <w:rFonts w:hint="eastAsia"/>
        <w:i/>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25E0AB"/>
    <w:multiLevelType w:val="singleLevel"/>
    <w:tmpl w:val="5E25E0AB"/>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3838"/>
    <w:rsid w:val="001D4AA7"/>
    <w:rsid w:val="002252D7"/>
    <w:rsid w:val="0027047A"/>
    <w:rsid w:val="00283C77"/>
    <w:rsid w:val="00417958"/>
    <w:rsid w:val="00572115"/>
    <w:rsid w:val="006E2B9C"/>
    <w:rsid w:val="0071534B"/>
    <w:rsid w:val="00820335"/>
    <w:rsid w:val="00927FE7"/>
    <w:rsid w:val="009F4D05"/>
    <w:rsid w:val="00A6706E"/>
    <w:rsid w:val="00AA60B5"/>
    <w:rsid w:val="00B251DB"/>
    <w:rsid w:val="00B546AA"/>
    <w:rsid w:val="00BD48A7"/>
    <w:rsid w:val="00DC5D93"/>
    <w:rsid w:val="00E1131D"/>
    <w:rsid w:val="00E652FE"/>
    <w:rsid w:val="00EC620C"/>
    <w:rsid w:val="00EE21B1"/>
    <w:rsid w:val="00F364EC"/>
    <w:rsid w:val="01915102"/>
    <w:rsid w:val="01982677"/>
    <w:rsid w:val="01EA4ADE"/>
    <w:rsid w:val="026F31D2"/>
    <w:rsid w:val="02700C33"/>
    <w:rsid w:val="028D4D9D"/>
    <w:rsid w:val="03181AEA"/>
    <w:rsid w:val="031B1B06"/>
    <w:rsid w:val="036D6AF6"/>
    <w:rsid w:val="04166C39"/>
    <w:rsid w:val="04336379"/>
    <w:rsid w:val="044A3EE9"/>
    <w:rsid w:val="04515E8D"/>
    <w:rsid w:val="04964434"/>
    <w:rsid w:val="04D370BA"/>
    <w:rsid w:val="04F05F99"/>
    <w:rsid w:val="053F3326"/>
    <w:rsid w:val="0578469A"/>
    <w:rsid w:val="05C11E74"/>
    <w:rsid w:val="060F1DC1"/>
    <w:rsid w:val="062E0F1B"/>
    <w:rsid w:val="064D552F"/>
    <w:rsid w:val="066C4C38"/>
    <w:rsid w:val="06917614"/>
    <w:rsid w:val="06D53D04"/>
    <w:rsid w:val="0702797E"/>
    <w:rsid w:val="07AF16BE"/>
    <w:rsid w:val="07E13FBC"/>
    <w:rsid w:val="07ED69AF"/>
    <w:rsid w:val="07F31794"/>
    <w:rsid w:val="08853AE7"/>
    <w:rsid w:val="088C4408"/>
    <w:rsid w:val="08C50B6A"/>
    <w:rsid w:val="08CC455F"/>
    <w:rsid w:val="091574C6"/>
    <w:rsid w:val="09523459"/>
    <w:rsid w:val="09676E08"/>
    <w:rsid w:val="099147A9"/>
    <w:rsid w:val="09BD3DA7"/>
    <w:rsid w:val="0A11243E"/>
    <w:rsid w:val="0A274F53"/>
    <w:rsid w:val="0A2D3F7A"/>
    <w:rsid w:val="0A683415"/>
    <w:rsid w:val="0A78376A"/>
    <w:rsid w:val="0AA53A8F"/>
    <w:rsid w:val="0AD4021E"/>
    <w:rsid w:val="0AE17086"/>
    <w:rsid w:val="0AEE4C67"/>
    <w:rsid w:val="0AEF4AE4"/>
    <w:rsid w:val="0BA01892"/>
    <w:rsid w:val="0C1C77AC"/>
    <w:rsid w:val="0C436C17"/>
    <w:rsid w:val="0C824F2F"/>
    <w:rsid w:val="0C9A0C4B"/>
    <w:rsid w:val="0C9A26EE"/>
    <w:rsid w:val="0CA619E2"/>
    <w:rsid w:val="0CA94B58"/>
    <w:rsid w:val="0CD83188"/>
    <w:rsid w:val="0D150610"/>
    <w:rsid w:val="0D641DE8"/>
    <w:rsid w:val="0D7047AF"/>
    <w:rsid w:val="0D7E449B"/>
    <w:rsid w:val="0D857158"/>
    <w:rsid w:val="0DCA0720"/>
    <w:rsid w:val="0DD91579"/>
    <w:rsid w:val="0DEA6978"/>
    <w:rsid w:val="0E2265F7"/>
    <w:rsid w:val="0E342512"/>
    <w:rsid w:val="0EA2294D"/>
    <w:rsid w:val="0EBC6861"/>
    <w:rsid w:val="0ECC7050"/>
    <w:rsid w:val="0EF455AB"/>
    <w:rsid w:val="0F1D5D4B"/>
    <w:rsid w:val="0F2824C2"/>
    <w:rsid w:val="0F510230"/>
    <w:rsid w:val="0F5E0BAC"/>
    <w:rsid w:val="0FA95D65"/>
    <w:rsid w:val="0FB15B6E"/>
    <w:rsid w:val="0FD4153F"/>
    <w:rsid w:val="0FE142D1"/>
    <w:rsid w:val="108A4931"/>
    <w:rsid w:val="10A90F4A"/>
    <w:rsid w:val="1128734A"/>
    <w:rsid w:val="11621814"/>
    <w:rsid w:val="116D655C"/>
    <w:rsid w:val="11901D85"/>
    <w:rsid w:val="119D03B2"/>
    <w:rsid w:val="11CB69F3"/>
    <w:rsid w:val="121B6BCA"/>
    <w:rsid w:val="12255AC7"/>
    <w:rsid w:val="123B414D"/>
    <w:rsid w:val="125D1154"/>
    <w:rsid w:val="12727D51"/>
    <w:rsid w:val="128F51F7"/>
    <w:rsid w:val="12D97B60"/>
    <w:rsid w:val="12DA6F97"/>
    <w:rsid w:val="13287697"/>
    <w:rsid w:val="137571E3"/>
    <w:rsid w:val="13E768E0"/>
    <w:rsid w:val="13EB7CC6"/>
    <w:rsid w:val="14017C2A"/>
    <w:rsid w:val="145878C7"/>
    <w:rsid w:val="145D63DF"/>
    <w:rsid w:val="14AA4FE6"/>
    <w:rsid w:val="14E36B37"/>
    <w:rsid w:val="14E57942"/>
    <w:rsid w:val="151A72B0"/>
    <w:rsid w:val="152F40BF"/>
    <w:rsid w:val="15432FFE"/>
    <w:rsid w:val="15F8700C"/>
    <w:rsid w:val="1605391F"/>
    <w:rsid w:val="161F23D0"/>
    <w:rsid w:val="166141D8"/>
    <w:rsid w:val="16665C3D"/>
    <w:rsid w:val="16B35277"/>
    <w:rsid w:val="171F6F1A"/>
    <w:rsid w:val="172416E1"/>
    <w:rsid w:val="17455130"/>
    <w:rsid w:val="174C3D54"/>
    <w:rsid w:val="175472B2"/>
    <w:rsid w:val="17563EDF"/>
    <w:rsid w:val="17801B19"/>
    <w:rsid w:val="17D74537"/>
    <w:rsid w:val="17ED5F82"/>
    <w:rsid w:val="18001EF3"/>
    <w:rsid w:val="184F33D0"/>
    <w:rsid w:val="18FE3BDA"/>
    <w:rsid w:val="1903101E"/>
    <w:rsid w:val="191F2DD4"/>
    <w:rsid w:val="193F4781"/>
    <w:rsid w:val="195069C9"/>
    <w:rsid w:val="19864338"/>
    <w:rsid w:val="19A47337"/>
    <w:rsid w:val="19AC3CEE"/>
    <w:rsid w:val="19D01B3F"/>
    <w:rsid w:val="19FC43E7"/>
    <w:rsid w:val="1A1008D2"/>
    <w:rsid w:val="1A116A05"/>
    <w:rsid w:val="1A2A2F0B"/>
    <w:rsid w:val="1A402E3C"/>
    <w:rsid w:val="1A820146"/>
    <w:rsid w:val="1A945274"/>
    <w:rsid w:val="1AEA4E12"/>
    <w:rsid w:val="1B3D3B9B"/>
    <w:rsid w:val="1B452CD4"/>
    <w:rsid w:val="1B6873DB"/>
    <w:rsid w:val="1BBD07B1"/>
    <w:rsid w:val="1C50357B"/>
    <w:rsid w:val="1C567474"/>
    <w:rsid w:val="1C7C00FF"/>
    <w:rsid w:val="1CA72EBC"/>
    <w:rsid w:val="1CC019BB"/>
    <w:rsid w:val="1CCB03CC"/>
    <w:rsid w:val="1CEF0418"/>
    <w:rsid w:val="1D3D41EC"/>
    <w:rsid w:val="1D734078"/>
    <w:rsid w:val="1D8366BD"/>
    <w:rsid w:val="1D883A1C"/>
    <w:rsid w:val="1DDB393A"/>
    <w:rsid w:val="1DDD5ED3"/>
    <w:rsid w:val="1DF02AAD"/>
    <w:rsid w:val="1E22505B"/>
    <w:rsid w:val="1E3063ED"/>
    <w:rsid w:val="1E4B10EE"/>
    <w:rsid w:val="1E62207F"/>
    <w:rsid w:val="1E67158B"/>
    <w:rsid w:val="1E967C0F"/>
    <w:rsid w:val="1E970F35"/>
    <w:rsid w:val="1E9F2B0A"/>
    <w:rsid w:val="1F2227F4"/>
    <w:rsid w:val="1F9C2C7C"/>
    <w:rsid w:val="1FA623C5"/>
    <w:rsid w:val="1FD664B4"/>
    <w:rsid w:val="2008252C"/>
    <w:rsid w:val="20451522"/>
    <w:rsid w:val="21164244"/>
    <w:rsid w:val="21605120"/>
    <w:rsid w:val="21880B30"/>
    <w:rsid w:val="218C04CA"/>
    <w:rsid w:val="219C5F67"/>
    <w:rsid w:val="21CD067A"/>
    <w:rsid w:val="21D07DBE"/>
    <w:rsid w:val="21F02AE4"/>
    <w:rsid w:val="21F81325"/>
    <w:rsid w:val="2215683D"/>
    <w:rsid w:val="222E21FD"/>
    <w:rsid w:val="22450D62"/>
    <w:rsid w:val="224E1938"/>
    <w:rsid w:val="2257393C"/>
    <w:rsid w:val="22C87403"/>
    <w:rsid w:val="22C9633E"/>
    <w:rsid w:val="23000E86"/>
    <w:rsid w:val="235B407F"/>
    <w:rsid w:val="235E748F"/>
    <w:rsid w:val="237426C9"/>
    <w:rsid w:val="23847DEE"/>
    <w:rsid w:val="23A673CE"/>
    <w:rsid w:val="23C5351B"/>
    <w:rsid w:val="23FA255E"/>
    <w:rsid w:val="24036B82"/>
    <w:rsid w:val="240568AE"/>
    <w:rsid w:val="247C6913"/>
    <w:rsid w:val="24833D0E"/>
    <w:rsid w:val="24CA0F35"/>
    <w:rsid w:val="252355DC"/>
    <w:rsid w:val="25351825"/>
    <w:rsid w:val="25904B15"/>
    <w:rsid w:val="25946D6D"/>
    <w:rsid w:val="25975FAB"/>
    <w:rsid w:val="25AC250C"/>
    <w:rsid w:val="260E6838"/>
    <w:rsid w:val="261F4E33"/>
    <w:rsid w:val="261F58B1"/>
    <w:rsid w:val="26226C45"/>
    <w:rsid w:val="26295A52"/>
    <w:rsid w:val="264535C6"/>
    <w:rsid w:val="2672664C"/>
    <w:rsid w:val="268317F1"/>
    <w:rsid w:val="26BF1482"/>
    <w:rsid w:val="26E130D3"/>
    <w:rsid w:val="26F00826"/>
    <w:rsid w:val="271C1921"/>
    <w:rsid w:val="27705A81"/>
    <w:rsid w:val="277139FC"/>
    <w:rsid w:val="27993CBF"/>
    <w:rsid w:val="27DB7400"/>
    <w:rsid w:val="280750E5"/>
    <w:rsid w:val="281D2D6E"/>
    <w:rsid w:val="28225D02"/>
    <w:rsid w:val="28381FFC"/>
    <w:rsid w:val="285A11FE"/>
    <w:rsid w:val="2868154E"/>
    <w:rsid w:val="28CB0B3F"/>
    <w:rsid w:val="28F13722"/>
    <w:rsid w:val="29780066"/>
    <w:rsid w:val="297F3D3B"/>
    <w:rsid w:val="2990796B"/>
    <w:rsid w:val="29983982"/>
    <w:rsid w:val="29B01473"/>
    <w:rsid w:val="29C04599"/>
    <w:rsid w:val="2A440E11"/>
    <w:rsid w:val="2AB073EB"/>
    <w:rsid w:val="2AB97E8C"/>
    <w:rsid w:val="2AD1413D"/>
    <w:rsid w:val="2B112799"/>
    <w:rsid w:val="2BF708A7"/>
    <w:rsid w:val="2C576895"/>
    <w:rsid w:val="2C9C5FF8"/>
    <w:rsid w:val="2CE66D6E"/>
    <w:rsid w:val="2CF45B30"/>
    <w:rsid w:val="2D993506"/>
    <w:rsid w:val="2DC05767"/>
    <w:rsid w:val="2E59644F"/>
    <w:rsid w:val="2E914C58"/>
    <w:rsid w:val="2E983E58"/>
    <w:rsid w:val="2EE92235"/>
    <w:rsid w:val="2F027655"/>
    <w:rsid w:val="2F124E58"/>
    <w:rsid w:val="2F235611"/>
    <w:rsid w:val="2F4927A9"/>
    <w:rsid w:val="2F700CD8"/>
    <w:rsid w:val="2F75269A"/>
    <w:rsid w:val="2F796F62"/>
    <w:rsid w:val="2FC1529C"/>
    <w:rsid w:val="315C25BA"/>
    <w:rsid w:val="3177471E"/>
    <w:rsid w:val="3181005C"/>
    <w:rsid w:val="31E50645"/>
    <w:rsid w:val="326128A1"/>
    <w:rsid w:val="329570A0"/>
    <w:rsid w:val="32C04389"/>
    <w:rsid w:val="32D630F7"/>
    <w:rsid w:val="32D65342"/>
    <w:rsid w:val="33394108"/>
    <w:rsid w:val="34354EF7"/>
    <w:rsid w:val="348E3272"/>
    <w:rsid w:val="34954682"/>
    <w:rsid w:val="34957CAF"/>
    <w:rsid w:val="34CE7196"/>
    <w:rsid w:val="34CF29F4"/>
    <w:rsid w:val="34F16F39"/>
    <w:rsid w:val="359B4D3D"/>
    <w:rsid w:val="35F540C5"/>
    <w:rsid w:val="36303DAD"/>
    <w:rsid w:val="3640579D"/>
    <w:rsid w:val="36910478"/>
    <w:rsid w:val="37115B1D"/>
    <w:rsid w:val="37553454"/>
    <w:rsid w:val="37EC7C1B"/>
    <w:rsid w:val="37F353D4"/>
    <w:rsid w:val="381170BB"/>
    <w:rsid w:val="38203554"/>
    <w:rsid w:val="38403C09"/>
    <w:rsid w:val="38630D8D"/>
    <w:rsid w:val="388451BA"/>
    <w:rsid w:val="38F01F67"/>
    <w:rsid w:val="39115BBD"/>
    <w:rsid w:val="392015AD"/>
    <w:rsid w:val="39D04182"/>
    <w:rsid w:val="3A367C7D"/>
    <w:rsid w:val="3A9A5506"/>
    <w:rsid w:val="3AE37EB5"/>
    <w:rsid w:val="3AEB6AA7"/>
    <w:rsid w:val="3B9241DA"/>
    <w:rsid w:val="3BC01421"/>
    <w:rsid w:val="3BDC693E"/>
    <w:rsid w:val="3BE816B9"/>
    <w:rsid w:val="3C381C8F"/>
    <w:rsid w:val="3D0B6366"/>
    <w:rsid w:val="3D2A5588"/>
    <w:rsid w:val="3D3521D0"/>
    <w:rsid w:val="3D6E6FA3"/>
    <w:rsid w:val="3DC206D9"/>
    <w:rsid w:val="3DCE190D"/>
    <w:rsid w:val="3DCF35BA"/>
    <w:rsid w:val="3E46101F"/>
    <w:rsid w:val="3EE433E3"/>
    <w:rsid w:val="3EE451BF"/>
    <w:rsid w:val="3EFE2102"/>
    <w:rsid w:val="3F011DC3"/>
    <w:rsid w:val="3F8D3855"/>
    <w:rsid w:val="3FC8501C"/>
    <w:rsid w:val="3FCF770A"/>
    <w:rsid w:val="3FD05973"/>
    <w:rsid w:val="4013191C"/>
    <w:rsid w:val="40163C04"/>
    <w:rsid w:val="401A12F3"/>
    <w:rsid w:val="40280281"/>
    <w:rsid w:val="40932816"/>
    <w:rsid w:val="40973377"/>
    <w:rsid w:val="4097376B"/>
    <w:rsid w:val="40EF01DC"/>
    <w:rsid w:val="41592564"/>
    <w:rsid w:val="41C93677"/>
    <w:rsid w:val="43554972"/>
    <w:rsid w:val="438D42C3"/>
    <w:rsid w:val="439E463E"/>
    <w:rsid w:val="43DA6153"/>
    <w:rsid w:val="43F873D5"/>
    <w:rsid w:val="442C0691"/>
    <w:rsid w:val="44672D73"/>
    <w:rsid w:val="448420DE"/>
    <w:rsid w:val="45001F35"/>
    <w:rsid w:val="455011F4"/>
    <w:rsid w:val="45B009E9"/>
    <w:rsid w:val="45F75B41"/>
    <w:rsid w:val="46113A6E"/>
    <w:rsid w:val="4645776D"/>
    <w:rsid w:val="468451F8"/>
    <w:rsid w:val="46EF0D14"/>
    <w:rsid w:val="47202EC8"/>
    <w:rsid w:val="472A19AC"/>
    <w:rsid w:val="472E696D"/>
    <w:rsid w:val="473E5B36"/>
    <w:rsid w:val="478946FF"/>
    <w:rsid w:val="478F3FA3"/>
    <w:rsid w:val="47903B56"/>
    <w:rsid w:val="47C97A31"/>
    <w:rsid w:val="47E069DE"/>
    <w:rsid w:val="47E357DD"/>
    <w:rsid w:val="47E51626"/>
    <w:rsid w:val="483B4B04"/>
    <w:rsid w:val="486C256F"/>
    <w:rsid w:val="48ED5103"/>
    <w:rsid w:val="49117CE4"/>
    <w:rsid w:val="49792B4B"/>
    <w:rsid w:val="497F4B05"/>
    <w:rsid w:val="49922AB4"/>
    <w:rsid w:val="49C1661D"/>
    <w:rsid w:val="4A3E72A3"/>
    <w:rsid w:val="4A612A53"/>
    <w:rsid w:val="4A9E08AF"/>
    <w:rsid w:val="4AC42196"/>
    <w:rsid w:val="4AD15441"/>
    <w:rsid w:val="4ADD3013"/>
    <w:rsid w:val="4AE06D82"/>
    <w:rsid w:val="4AE26E8D"/>
    <w:rsid w:val="4AEC1D6B"/>
    <w:rsid w:val="4AF6238B"/>
    <w:rsid w:val="4B3A1853"/>
    <w:rsid w:val="4B4E5A9E"/>
    <w:rsid w:val="4B5A2A77"/>
    <w:rsid w:val="4B6B7BB4"/>
    <w:rsid w:val="4B6C434E"/>
    <w:rsid w:val="4BAC5B86"/>
    <w:rsid w:val="4BB72431"/>
    <w:rsid w:val="4C1C4F86"/>
    <w:rsid w:val="4C9D79E3"/>
    <w:rsid w:val="4CAD18BE"/>
    <w:rsid w:val="4CD21E84"/>
    <w:rsid w:val="4D43529C"/>
    <w:rsid w:val="4DAA1615"/>
    <w:rsid w:val="4DD823F8"/>
    <w:rsid w:val="4DE36338"/>
    <w:rsid w:val="4E0842E7"/>
    <w:rsid w:val="4E1028D1"/>
    <w:rsid w:val="4E117EBF"/>
    <w:rsid w:val="4E8B6FF0"/>
    <w:rsid w:val="4E9A7D06"/>
    <w:rsid w:val="4EAD3D1E"/>
    <w:rsid w:val="4EB304F0"/>
    <w:rsid w:val="4EC50CEE"/>
    <w:rsid w:val="4EC64097"/>
    <w:rsid w:val="4EEA2637"/>
    <w:rsid w:val="4F076FB2"/>
    <w:rsid w:val="4F0C2832"/>
    <w:rsid w:val="4F1144B2"/>
    <w:rsid w:val="4F2846BA"/>
    <w:rsid w:val="4F5E2895"/>
    <w:rsid w:val="4F9722D8"/>
    <w:rsid w:val="506B3722"/>
    <w:rsid w:val="5091761E"/>
    <w:rsid w:val="50BE54A9"/>
    <w:rsid w:val="513A732B"/>
    <w:rsid w:val="513E370C"/>
    <w:rsid w:val="516C5BA3"/>
    <w:rsid w:val="51A11A9B"/>
    <w:rsid w:val="51DA2D89"/>
    <w:rsid w:val="522D4D1F"/>
    <w:rsid w:val="52564108"/>
    <w:rsid w:val="52843E7D"/>
    <w:rsid w:val="528E41A8"/>
    <w:rsid w:val="53076C9C"/>
    <w:rsid w:val="533A5A5D"/>
    <w:rsid w:val="5372320A"/>
    <w:rsid w:val="53B83C92"/>
    <w:rsid w:val="543F10EF"/>
    <w:rsid w:val="54790BC2"/>
    <w:rsid w:val="54CA21EF"/>
    <w:rsid w:val="54EF0CF4"/>
    <w:rsid w:val="54FF0689"/>
    <w:rsid w:val="556463D4"/>
    <w:rsid w:val="556C45E4"/>
    <w:rsid w:val="56186F28"/>
    <w:rsid w:val="57557472"/>
    <w:rsid w:val="576A55F0"/>
    <w:rsid w:val="5785319E"/>
    <w:rsid w:val="57A93905"/>
    <w:rsid w:val="57AB4BEF"/>
    <w:rsid w:val="57CC0C3A"/>
    <w:rsid w:val="58041F18"/>
    <w:rsid w:val="58090E26"/>
    <w:rsid w:val="581B1D4B"/>
    <w:rsid w:val="582F57F4"/>
    <w:rsid w:val="5852070A"/>
    <w:rsid w:val="588101AD"/>
    <w:rsid w:val="58B32BCA"/>
    <w:rsid w:val="58DB3B63"/>
    <w:rsid w:val="58EC0BDE"/>
    <w:rsid w:val="58FF2C7F"/>
    <w:rsid w:val="590A61B0"/>
    <w:rsid w:val="59237EF7"/>
    <w:rsid w:val="593B6B60"/>
    <w:rsid w:val="59493810"/>
    <w:rsid w:val="59995779"/>
    <w:rsid w:val="59C93392"/>
    <w:rsid w:val="5A1E47B3"/>
    <w:rsid w:val="5A393087"/>
    <w:rsid w:val="5A885140"/>
    <w:rsid w:val="5A8F7896"/>
    <w:rsid w:val="5ADB3CE9"/>
    <w:rsid w:val="5B0F0E1D"/>
    <w:rsid w:val="5B484264"/>
    <w:rsid w:val="5B8E55C5"/>
    <w:rsid w:val="5BAD7549"/>
    <w:rsid w:val="5BDA145E"/>
    <w:rsid w:val="5C334A8C"/>
    <w:rsid w:val="5C3C1FC3"/>
    <w:rsid w:val="5C514F5A"/>
    <w:rsid w:val="5CD6460B"/>
    <w:rsid w:val="5CD65009"/>
    <w:rsid w:val="5D727759"/>
    <w:rsid w:val="5D8F2714"/>
    <w:rsid w:val="5DBE7739"/>
    <w:rsid w:val="5DD45EEA"/>
    <w:rsid w:val="5DDA72EF"/>
    <w:rsid w:val="5DE15967"/>
    <w:rsid w:val="5E241D08"/>
    <w:rsid w:val="5EB878DA"/>
    <w:rsid w:val="5F070DE5"/>
    <w:rsid w:val="5F760659"/>
    <w:rsid w:val="5FC51E42"/>
    <w:rsid w:val="5FCC089C"/>
    <w:rsid w:val="5FE80537"/>
    <w:rsid w:val="60384AEA"/>
    <w:rsid w:val="603A0EAB"/>
    <w:rsid w:val="60451542"/>
    <w:rsid w:val="606739FA"/>
    <w:rsid w:val="60A9178E"/>
    <w:rsid w:val="60B76525"/>
    <w:rsid w:val="60BC09B2"/>
    <w:rsid w:val="60C75DE7"/>
    <w:rsid w:val="613E6A78"/>
    <w:rsid w:val="615A5CD5"/>
    <w:rsid w:val="61FE7F84"/>
    <w:rsid w:val="62205D39"/>
    <w:rsid w:val="622D7C42"/>
    <w:rsid w:val="624C513D"/>
    <w:rsid w:val="62556E91"/>
    <w:rsid w:val="62D42008"/>
    <w:rsid w:val="62DD5473"/>
    <w:rsid w:val="62E673D8"/>
    <w:rsid w:val="62E835FF"/>
    <w:rsid w:val="62EA7BC6"/>
    <w:rsid w:val="631710F2"/>
    <w:rsid w:val="63270624"/>
    <w:rsid w:val="633A48F0"/>
    <w:rsid w:val="63D57782"/>
    <w:rsid w:val="63D74E38"/>
    <w:rsid w:val="63EA0AE9"/>
    <w:rsid w:val="63F40595"/>
    <w:rsid w:val="641978DA"/>
    <w:rsid w:val="642F79FA"/>
    <w:rsid w:val="64BB679C"/>
    <w:rsid w:val="650466D2"/>
    <w:rsid w:val="655D0709"/>
    <w:rsid w:val="655D7CD1"/>
    <w:rsid w:val="65C56B2E"/>
    <w:rsid w:val="65DE7550"/>
    <w:rsid w:val="661F13F3"/>
    <w:rsid w:val="66500F31"/>
    <w:rsid w:val="666E2C09"/>
    <w:rsid w:val="66942D28"/>
    <w:rsid w:val="66D007B7"/>
    <w:rsid w:val="66F902C1"/>
    <w:rsid w:val="67180DF9"/>
    <w:rsid w:val="67613BFA"/>
    <w:rsid w:val="676756A6"/>
    <w:rsid w:val="676E10FE"/>
    <w:rsid w:val="67AF1E73"/>
    <w:rsid w:val="67B2460E"/>
    <w:rsid w:val="67CF4C1C"/>
    <w:rsid w:val="67F61B66"/>
    <w:rsid w:val="683868FA"/>
    <w:rsid w:val="68792735"/>
    <w:rsid w:val="68B2649A"/>
    <w:rsid w:val="69070CF5"/>
    <w:rsid w:val="69095228"/>
    <w:rsid w:val="69256BFA"/>
    <w:rsid w:val="695663A4"/>
    <w:rsid w:val="69586DC5"/>
    <w:rsid w:val="69676E4E"/>
    <w:rsid w:val="699D7A16"/>
    <w:rsid w:val="6A4D7904"/>
    <w:rsid w:val="6A4F3E06"/>
    <w:rsid w:val="6A6A3273"/>
    <w:rsid w:val="6A981222"/>
    <w:rsid w:val="6AD82222"/>
    <w:rsid w:val="6B1E1571"/>
    <w:rsid w:val="6B2110B7"/>
    <w:rsid w:val="6B7B7C0A"/>
    <w:rsid w:val="6B820F80"/>
    <w:rsid w:val="6BAD2696"/>
    <w:rsid w:val="6BBC2811"/>
    <w:rsid w:val="6BCD1F2F"/>
    <w:rsid w:val="6BD759A6"/>
    <w:rsid w:val="6C0F44E4"/>
    <w:rsid w:val="6C6F1FA8"/>
    <w:rsid w:val="6CCA1933"/>
    <w:rsid w:val="6CE076F7"/>
    <w:rsid w:val="6D1B55FD"/>
    <w:rsid w:val="6D5173A4"/>
    <w:rsid w:val="6D7A203E"/>
    <w:rsid w:val="6D9F304D"/>
    <w:rsid w:val="6DAA6634"/>
    <w:rsid w:val="6DAB0863"/>
    <w:rsid w:val="6DC85001"/>
    <w:rsid w:val="6E4B0713"/>
    <w:rsid w:val="6E686006"/>
    <w:rsid w:val="6E9E2D5A"/>
    <w:rsid w:val="6EC22DE3"/>
    <w:rsid w:val="6FA94DA4"/>
    <w:rsid w:val="704F61E9"/>
    <w:rsid w:val="706C5B73"/>
    <w:rsid w:val="7071422C"/>
    <w:rsid w:val="70DA3281"/>
    <w:rsid w:val="70F214A4"/>
    <w:rsid w:val="70F40F1B"/>
    <w:rsid w:val="70FB544A"/>
    <w:rsid w:val="71FD05B8"/>
    <w:rsid w:val="72372B27"/>
    <w:rsid w:val="725A5CB1"/>
    <w:rsid w:val="726075AD"/>
    <w:rsid w:val="72BE0236"/>
    <w:rsid w:val="73140423"/>
    <w:rsid w:val="73453BDB"/>
    <w:rsid w:val="735D7BE6"/>
    <w:rsid w:val="747C539A"/>
    <w:rsid w:val="7483000E"/>
    <w:rsid w:val="74AA4DA3"/>
    <w:rsid w:val="74BC1187"/>
    <w:rsid w:val="74CD790E"/>
    <w:rsid w:val="74DD456B"/>
    <w:rsid w:val="750E4A7E"/>
    <w:rsid w:val="754A15F1"/>
    <w:rsid w:val="75A723F6"/>
    <w:rsid w:val="75D03CB5"/>
    <w:rsid w:val="75D139E3"/>
    <w:rsid w:val="75F73563"/>
    <w:rsid w:val="76037323"/>
    <w:rsid w:val="764C00A9"/>
    <w:rsid w:val="7685123A"/>
    <w:rsid w:val="77154D08"/>
    <w:rsid w:val="773D07C6"/>
    <w:rsid w:val="774D0A6B"/>
    <w:rsid w:val="77862F93"/>
    <w:rsid w:val="77AD3D4C"/>
    <w:rsid w:val="77B31FDA"/>
    <w:rsid w:val="77CD114F"/>
    <w:rsid w:val="77DB54E7"/>
    <w:rsid w:val="77F73C8D"/>
    <w:rsid w:val="781F3FFB"/>
    <w:rsid w:val="78365DC4"/>
    <w:rsid w:val="785079CB"/>
    <w:rsid w:val="78557799"/>
    <w:rsid w:val="788F2197"/>
    <w:rsid w:val="78C85C1B"/>
    <w:rsid w:val="79386019"/>
    <w:rsid w:val="796A0BBB"/>
    <w:rsid w:val="79861BFE"/>
    <w:rsid w:val="799C6A73"/>
    <w:rsid w:val="79F95CBA"/>
    <w:rsid w:val="79FD6360"/>
    <w:rsid w:val="7A162D3A"/>
    <w:rsid w:val="7A6F7BE2"/>
    <w:rsid w:val="7A8C4FFB"/>
    <w:rsid w:val="7A9B556D"/>
    <w:rsid w:val="7AC23855"/>
    <w:rsid w:val="7AEA36A6"/>
    <w:rsid w:val="7B2E46F2"/>
    <w:rsid w:val="7B6479BD"/>
    <w:rsid w:val="7B98772A"/>
    <w:rsid w:val="7BA54AF1"/>
    <w:rsid w:val="7C93643B"/>
    <w:rsid w:val="7D034936"/>
    <w:rsid w:val="7D216DA0"/>
    <w:rsid w:val="7D47499C"/>
    <w:rsid w:val="7D5937C5"/>
    <w:rsid w:val="7D6A6E2E"/>
    <w:rsid w:val="7D9E0CF3"/>
    <w:rsid w:val="7DA415B9"/>
    <w:rsid w:val="7DAE50B2"/>
    <w:rsid w:val="7DBE5EBB"/>
    <w:rsid w:val="7DD2704C"/>
    <w:rsid w:val="7DD374BB"/>
    <w:rsid w:val="7F2224E2"/>
    <w:rsid w:val="7F371103"/>
    <w:rsid w:val="7F966247"/>
    <w:rsid w:val="7FB56382"/>
    <w:rsid w:val="7FFD52D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qFormat/>
    <w:uiPriority w:val="0"/>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ody Text Indent"/>
    <w:basedOn w:val="1"/>
    <w:qFormat/>
    <w:uiPriority w:val="0"/>
    <w:pPr>
      <w:ind w:firstLine="520" w:firstLineChars="200"/>
    </w:pPr>
    <w:rPr>
      <w:sz w:val="26"/>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rPr>
  </w:style>
  <w:style w:type="paragraph" w:styleId="6">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r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Chinese ORG</Company>
  <Pages>10</Pages>
  <Words>13591</Words>
  <Characters>14696</Characters>
  <Lines>37</Lines>
  <Paragraphs>10</Paragraphs>
  <TotalTime>10</TotalTime>
  <ScaleCrop>false</ScaleCrop>
  <LinksUpToDate>false</LinksUpToDate>
  <CharactersWithSpaces>15212</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2011-03-29T16:53:00Z</dcterms:created>
  <dc:creator>CommUser</dc:creator>
  <cp:lastModifiedBy>招采中心</cp:lastModifiedBy>
  <cp:lastPrinted>2021-04-01T06:36:00Z</cp:lastPrinted>
  <dcterms:modified xsi:type="dcterms:W3CDTF">2022-04-08T07:03:43Z</dcterms:modified>
  <dc:title>铝合金门窗施工合同</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B7A69C29E54A4D7E91EA6FEDBD7D4365</vt:lpwstr>
  </property>
</Properties>
</file>