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/>
          <w:color w:val="auto"/>
          <w:sz w:val="36"/>
          <w:szCs w:val="36"/>
        </w:rPr>
      </w:pPr>
      <w:bookmarkStart w:id="11" w:name="_GoBack"/>
      <w:r>
        <w:rPr>
          <w:rFonts w:hint="eastAsia" w:ascii="微软雅黑" w:hAnsi="微软雅黑"/>
          <w:color w:val="auto"/>
        </w:rPr>
        <w:t xml:space="preserve">                     </w:t>
      </w:r>
      <w:r>
        <w:rPr>
          <w:rFonts w:hint="eastAsia" w:ascii="微软雅黑" w:hAnsi="微软雅黑"/>
          <w:color w:val="auto"/>
          <w:sz w:val="36"/>
          <w:szCs w:val="36"/>
        </w:rPr>
        <w:t xml:space="preserve">  </w:t>
      </w:r>
    </w:p>
    <w:p>
      <w:pPr>
        <w:ind w:firstLine="522" w:firstLineChars="100"/>
        <w:rPr>
          <w:rFonts w:hint="eastAsia" w:ascii="宋体" w:hAnsi="宋体" w:eastAsia="宋体"/>
          <w:b/>
          <w:bCs/>
          <w:color w:val="auto"/>
          <w:sz w:val="52"/>
          <w:szCs w:val="52"/>
          <w:lang w:eastAsia="zh-CN"/>
        </w:rPr>
      </w:pPr>
      <w:r>
        <w:rPr>
          <w:rFonts w:hint="eastAsia" w:ascii="宋体" w:hAnsi="宋体"/>
          <w:b/>
          <w:bCs/>
          <w:color w:val="auto"/>
          <w:sz w:val="52"/>
          <w:szCs w:val="52"/>
          <w:lang w:eastAsia="zh-CN"/>
        </w:rPr>
        <w:t>常平环保专业基地集中供热工程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bCs/>
          <w:color w:val="auto"/>
          <w:sz w:val="32"/>
          <w:szCs w:val="20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  <w:r>
        <w:rPr>
          <w:rFonts w:hint="eastAsia" w:eastAsia="宋体"/>
          <w:b/>
          <w:bCs/>
          <w:color w:val="auto"/>
          <w:sz w:val="52"/>
          <w:lang w:eastAsia="zh-CN"/>
        </w:rPr>
        <w:t>脱硝装置</w:t>
      </w: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rFonts w:hint="eastAsia" w:eastAsia="宋体"/>
          <w:b/>
          <w:bCs/>
          <w:color w:val="auto"/>
          <w:sz w:val="52"/>
          <w:lang w:eastAsia="zh-CN"/>
        </w:rPr>
      </w:pPr>
    </w:p>
    <w:p>
      <w:pPr>
        <w:jc w:val="center"/>
        <w:rPr>
          <w:b/>
          <w:color w:val="auto"/>
          <w:sz w:val="44"/>
        </w:rPr>
      </w:pPr>
    </w:p>
    <w:p>
      <w:pPr>
        <w:rPr>
          <w:rFonts w:hint="eastAsia" w:eastAsia="华文新魏"/>
          <w:b/>
          <w:bCs/>
          <w:color w:val="auto"/>
          <w:sz w:val="84"/>
        </w:rPr>
      </w:pPr>
      <w:r>
        <w:rPr>
          <w:color w:val="auto"/>
          <w:sz w:val="28"/>
        </w:rPr>
        <w:t xml:space="preserve">        </w:t>
      </w:r>
      <w:r>
        <w:rPr>
          <w:b/>
          <w:bCs/>
          <w:color w:val="auto"/>
          <w:sz w:val="72"/>
        </w:rPr>
        <w:t xml:space="preserve"> </w:t>
      </w:r>
      <w:r>
        <w:rPr>
          <w:rFonts w:hint="eastAsia"/>
          <w:b/>
          <w:bCs/>
          <w:color w:val="auto"/>
          <w:sz w:val="72"/>
        </w:rPr>
        <w:t xml:space="preserve"> </w:t>
      </w:r>
      <w:r>
        <w:rPr>
          <w:rFonts w:hint="eastAsia"/>
          <w:b/>
          <w:bCs/>
          <w:color w:val="auto"/>
          <w:sz w:val="72"/>
          <w:lang w:val="en-US" w:eastAsia="zh-CN"/>
        </w:rPr>
        <w:t xml:space="preserve"> </w:t>
      </w:r>
      <w:r>
        <w:rPr>
          <w:rFonts w:hint="eastAsia" w:eastAsia="华文新魏"/>
          <w:b/>
          <w:bCs/>
          <w:color w:val="auto"/>
          <w:sz w:val="84"/>
        </w:rPr>
        <w:t>技术规范书</w:t>
      </w: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7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5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36"/>
          <w:szCs w:val="2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36"/>
          <w:szCs w:val="2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宋体" w:eastAsia="华文中宋"/>
          <w:b/>
          <w:bCs/>
          <w:color w:val="auto"/>
          <w:sz w:val="36"/>
          <w:szCs w:val="20"/>
        </w:rPr>
      </w:pPr>
    </w:p>
    <w:p>
      <w:pPr>
        <w:adjustRightInd w:val="0"/>
        <w:snapToGrid w:val="0"/>
        <w:spacing w:before="240" w:beforeLines="100"/>
        <w:jc w:val="center"/>
        <w:rPr>
          <w:rFonts w:hint="eastAsia" w:ascii="华文中宋" w:hAnsi="华文中宋" w:eastAsia="华文中宋"/>
          <w:color w:val="auto"/>
          <w:sz w:val="24"/>
        </w:rPr>
      </w:pPr>
      <w:r>
        <w:rPr>
          <w:rFonts w:ascii="华文中宋" w:hAnsi="华文中宋" w:eastAsia="华文中宋"/>
          <w:color w:val="auto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220980</wp:posOffset>
                </wp:positionV>
                <wp:extent cx="4000500" cy="36195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8"/>
                              <w:widowControl w:val="0"/>
                              <w:adjustRightInd w:val="0"/>
                              <w:snapToGrid w:val="0"/>
                              <w:spacing w:before="0" w:after="0"/>
                              <w:rPr>
                                <w:rFonts w:hint="eastAsia" w:ascii="Times New Roman" w:hAnsi="Times New Roman" w:eastAsia="宋体"/>
                                <w:b/>
                                <w:bCs/>
                                <w:kern w:val="2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bCs/>
                                <w:kern w:val="2"/>
                                <w:sz w:val="32"/>
                                <w:szCs w:val="32"/>
                                <w:lang w:eastAsia="zh-CN"/>
                              </w:rPr>
                              <w:t>东莞市森力环保科技有限公司</w:t>
                            </w:r>
                          </w:p>
                          <w:p>
                            <w:pPr>
                              <w:pStyle w:val="18"/>
                              <w:widowControl w:val="0"/>
                              <w:adjustRightInd w:val="0"/>
                              <w:snapToGrid w:val="0"/>
                              <w:spacing w:before="0" w:after="0"/>
                              <w:rPr>
                                <w:rFonts w:hint="eastAsia" w:ascii="华文中宋" w:hAnsi="华文中宋" w:eastAsia="华文中宋"/>
                                <w:w w:val="130"/>
                                <w:kern w:val="2"/>
                                <w:szCs w:val="20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1.45pt;margin-top:17.4pt;height:28.5pt;width:315pt;z-index:251658240;mso-width-relative:page;mso-height-relative:page;" fillcolor="#FFFFFF" filled="t" stroked="f" coordsize="21600,21600" o:gfxdata="UEsDBAoAAAAAAIdO4kAAAAAAAAAAAAAAAAAEAAAAZHJzL1BLAwQUAAAACACHTuJAO2rKsNYAAAAJ&#10;AQAADwAAAGRycy9kb3ducmV2LnhtbE2PQU+DQBCF7yb+h82YeDF2AdtSkKWJJhqvrf0BA0yByM4S&#10;dlvaf+/0pMf35sub94rtxQ7qTJPvHRuIFxEo4to1PbcGDt8fzxtQPiA3ODgmA1fysC3v7wrMGzfz&#10;js770CoJYZ+jgS6EMdfa1x1Z9As3Esvt6CaLQeTU6mbCWcLtoJMoWmuLPcuHDkd676j+2Z+sgePX&#10;/LTK5uozHNLdcv2GfVq5qzGPD3H0CirQJfzBcKsv1aGUTpU7cePVIDpJMkENvCxlggDp6mZUBrJ4&#10;A7os9P8F5S9QSwMEFAAAAAgAh07iQNCtmTCtAQAAMgMAAA4AAABkcnMvZTJvRG9jLnhtbK1SS27b&#10;MBDdF8gdCO5jyW4cNILlAG3gbIq2QNID0BQpESA5xJCx5Au0N+iqm+57Lp+jQ9p1+tkV1YIiZx7f&#10;zHvD1e3kLNspjAZ8y+ezmjPlJXTG9y3/+Li5fMVZTMJ3woJXLd+ryG/XFy9WY2jUAgawnUJGJD42&#10;Y2j5kFJoqirKQTkRZxCUp6QGdCLREfuqQzESu7PVoq6vqxGwCwhSxUjRu2OSrwu/1kqm91pHlZht&#10;OfWWyopl3ea1Wq9E06MIg5GnNsQ/dOGE8VT0THUnkmBPaP6ickYiRNBpJsFVoLWRqmggNfP6DzUP&#10;gwiqaCFzYjjbFP8frXy3+4DMdDQ7zrxwNKLDl8+Hr98P3z6xRbZnDLEh1EMgXJpew5Shp3ikYFY9&#10;aXT5T3oY5cno/dlcNSUmKXhV1/WyppSk3Mvr+c2yuF893w4Y070Cx/Km5UjDK56K3duYqCJBf0Jy&#10;sQjWdBtjbTlgv31jke0EDXpTvtwkXfkNZj0bW36zXCwLs4d8/4iznuBZ7FFU3qVpO52UbqHbkwFP&#10;AU0/UHPFggKnwZQ6p0eUJ//ruZA+P/X1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tqyrDWAAAA&#10;CQEAAA8AAAAAAAAAAQAgAAAAIgAAAGRycy9kb3ducmV2LnhtbFBLAQIUABQAAAAIAIdO4kDQrZkw&#10;rQEAADIDAAAOAAAAAAAAAAEAIAAAACUBAABkcnMvZTJvRG9jLnhtbFBLBQYAAAAABgAGAFkBAABE&#10;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8"/>
                        <w:widowControl w:val="0"/>
                        <w:adjustRightInd w:val="0"/>
                        <w:snapToGrid w:val="0"/>
                        <w:spacing w:before="0" w:after="0"/>
                        <w:rPr>
                          <w:rFonts w:hint="eastAsia" w:ascii="Times New Roman" w:hAnsi="Times New Roman" w:eastAsia="宋体"/>
                          <w:b/>
                          <w:bCs/>
                          <w:kern w:val="2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bCs/>
                          <w:kern w:val="2"/>
                          <w:sz w:val="32"/>
                          <w:szCs w:val="32"/>
                          <w:lang w:eastAsia="zh-CN"/>
                        </w:rPr>
                        <w:t>东莞市森力环保科技有限公司</w:t>
                      </w:r>
                    </w:p>
                    <w:p>
                      <w:pPr>
                        <w:pStyle w:val="18"/>
                        <w:widowControl w:val="0"/>
                        <w:adjustRightInd w:val="0"/>
                        <w:snapToGrid w:val="0"/>
                        <w:spacing w:before="0" w:after="0"/>
                        <w:rPr>
                          <w:rFonts w:hint="eastAsia" w:ascii="华文中宋" w:hAnsi="华文中宋" w:eastAsia="华文中宋"/>
                          <w:w w:val="130"/>
                          <w:kern w:val="2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before="240" w:beforeLines="100"/>
        <w:jc w:val="center"/>
        <w:rPr>
          <w:rFonts w:hint="eastAsia" w:ascii="华文中宋" w:hAnsi="华文中宋" w:eastAsia="华文中宋"/>
          <w:color w:val="auto"/>
          <w:sz w:val="24"/>
        </w:rPr>
      </w:pPr>
    </w:p>
    <w:p>
      <w:pPr>
        <w:adjustRightInd w:val="0"/>
        <w:snapToGrid w:val="0"/>
        <w:spacing w:before="240" w:beforeLines="100"/>
        <w:jc w:val="center"/>
        <w:rPr>
          <w:rFonts w:hint="eastAsia" w:ascii="华文中宋" w:hAnsi="华文中宋" w:eastAsia="华文中宋"/>
          <w:color w:val="auto"/>
          <w:sz w:val="24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4"/>
        </w:rPr>
        <w:t>201</w:t>
      </w:r>
      <w:r>
        <w:rPr>
          <w:rFonts w:hint="eastAsia" w:ascii="华文中宋" w:hAnsi="华文中宋" w:eastAsia="华文中宋"/>
          <w:color w:val="auto"/>
          <w:sz w:val="24"/>
          <w:lang w:val="en-US" w:eastAsia="zh-CN"/>
        </w:rPr>
        <w:t>7</w:t>
      </w:r>
      <w:r>
        <w:rPr>
          <w:rFonts w:ascii="华文中宋" w:hAnsi="华文中宋" w:eastAsia="华文中宋"/>
          <w:color w:val="auto"/>
          <w:sz w:val="24"/>
        </w:rPr>
        <w:t>年</w:t>
      </w:r>
      <w:r>
        <w:rPr>
          <w:rFonts w:hint="eastAsia" w:ascii="华文中宋" w:hAnsi="华文中宋" w:eastAsia="华文中宋"/>
          <w:color w:val="auto"/>
          <w:sz w:val="24"/>
          <w:lang w:val="en-US" w:eastAsia="zh-CN"/>
        </w:rPr>
        <w:t>9月</w:t>
      </w:r>
    </w:p>
    <w:p>
      <w:pPr>
        <w:jc w:val="center"/>
        <w:outlineLvl w:val="0"/>
        <w:rPr>
          <w:rFonts w:hint="eastAsia" w:ascii="Arial" w:hAnsi="Arial" w:cs="Arial" w:eastAsiaTheme="minorEastAsia"/>
          <w:b/>
          <w:bCs/>
          <w:color w:val="auto"/>
          <w:sz w:val="28"/>
          <w:szCs w:val="28"/>
          <w:shd w:val="clear" w:color="auto" w:fill="FFFFFF"/>
          <w:lang w:eastAsia="zh-CN"/>
        </w:rPr>
      </w:pPr>
      <w:bookmarkStart w:id="0" w:name="_Toc5102"/>
      <w:bookmarkStart w:id="1" w:name="_Toc6654"/>
      <w:bookmarkStart w:id="2" w:name="_Toc16245"/>
      <w:r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8"/>
          <w:szCs w:val="22"/>
          <w:lang w:val="en-US" w:eastAsia="zh-CN" w:bidi="ar-SA"/>
        </w:rPr>
        <w:t>目    录</w:t>
      </w:r>
      <w:bookmarkEnd w:id="0"/>
      <w:bookmarkEnd w:id="1"/>
      <w:bookmarkEnd w:id="2"/>
    </w:p>
    <w:p>
      <w:pPr>
        <w:ind w:left="280" w:hanging="280" w:hangingChars="100"/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"总则"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总   则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.................................................1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"工程概况"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工程概况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................................................1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"规程及标准"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规程及标准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.............................................2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"技术要求及性能数据"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技术要求及性能数据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.....................................3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"双方职责"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1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双方职责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...............................................5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6、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"技术资料"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技术资料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...............................................6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7、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instrText xml:space="preserve"> HYPERLINK \l "工期" </w:instrTex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交货进度及工期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.........................................6</w:t>
      </w:r>
    </w:p>
    <w:p>
      <w:pP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8、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instrText xml:space="preserve"> HYPERLINK \l "设备检验及性能验收试验" </w:instrTex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fldChar w:fldCharType="separate"/>
      </w:r>
      <w:r>
        <w:rPr>
          <w:rStyle w:val="12"/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设备检验及性能验收试验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fldChar w:fldCharType="end"/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.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.................................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6</w:t>
      </w:r>
    </w:p>
    <w:p>
      <w:pPr>
        <w:pStyle w:val="15"/>
        <w:ind w:left="0" w:leftChars="0" w:firstLine="0" w:firstLineChars="0"/>
        <w:outlineLvl w:val="0"/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ind w:left="720" w:firstLine="0" w:firstLineChars="0"/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rPr>
          <w:rFonts w:hint="eastAsia" w:ascii="仿宋" w:hAnsi="仿宋" w:eastAsia="仿宋" w:cs="仿宋"/>
          <w:color w:val="auto"/>
          <w:sz w:val="24"/>
          <w:szCs w:val="24"/>
          <w:shd w:val="clear" w:color="auto" w:fill="FFFFFF"/>
        </w:rPr>
      </w:pPr>
    </w:p>
    <w:p>
      <w:pPr>
        <w:pStyle w:val="15"/>
        <w:numPr>
          <w:ilvl w:val="0"/>
          <w:numId w:val="1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3" w:name="总则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总则</w:t>
      </w:r>
    </w:p>
    <w:bookmarkEnd w:id="3"/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1.1本脱硝技术规范书作为常平环保专业基地30吨链条锅炉脱硝的技术文件，包含脱硝的设计、结构、性能、制造、安装和试验等方面的技术要求，中标后的供货技术协议将以本规范书为基础签订。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1.2 本技术规范书中所提的是最低限度的技术要求，并未规定所有的技术要求和适用的标准，投标人提供至少符合本技术规范书和所列标准的高质量产品及服务，满足国家有关安全、环保等强制性标准的要求。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1.3 投标人按本技术条件所列的标准投标，如有较高的国家和行业强制性标准，按较高标准执行。投标人投标时承诺的所有优于本技术规范书要求的性能和指标，均将在中标后的合同签署时写入合同或供货协议。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1.4投标人应为在中华人民共和国境内注册的独立法人；注册资本金不低于人民币100万元。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br w:type="textWrapping"/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1.5 投标人应具有主管部门颁发的《环境工程设计专项资质（限大气污染防治工程或废气）》乙级资质。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br w:type="textWrapping"/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1.6 投标人应在近三年内至少拥有三个同类（锅炉烟气脱硝）项目设计及施工的业绩。</w:t>
      </w:r>
    </w:p>
    <w:p>
      <w:pPr>
        <w:pStyle w:val="15"/>
        <w:ind w:left="720" w:firstLine="0"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2、</w:t>
      </w:r>
      <w:bookmarkStart w:id="4" w:name="工程概况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工程概况</w:t>
      </w:r>
      <w:bookmarkEnd w:id="4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：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项目名称：东莞市常平环保专业基地锅炉脱硝工程。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建设地址：东莞市司马，常平镇环保专业基地。</w:t>
      </w:r>
    </w:p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常平环保专业基地为东莞规划的7个环保基地之一，目的是整合常平及周边镇不适合原地保留的洗水、印花企业，实行集中供热，集中处理污水，达到减排目的。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环保基地目前加建一台30吨的链条锅炉（锅炉实际出力为40吨/小时），并预留了75吨或更大吨位锅炉的位置。锅炉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设计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燃料为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印尼烟煤，校核燃料为山西烟煤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脱硝的实施分两步走: </w:t>
      </w:r>
    </w:p>
    <w:p>
      <w:pPr>
        <w:ind w:firstLine="560" w:firstLineChars="20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第一步先实施低氮燃烧（烟气再循环）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；</w:t>
      </w:r>
    </w:p>
    <w:p>
      <w:pPr>
        <w:ind w:firstLine="560" w:firstLineChars="20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第二步为SNCR脱硝（该项为选项报价，具体实施日期由招标方另行通知）。</w:t>
      </w:r>
    </w:p>
    <w:p>
      <w:pPr>
        <w:ind w:firstLine="560" w:firstLineChars="200"/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本工程为交钥匙工程，由投标方负责脱硝装置的设计（含土建设计）、土建施工（选项报价）、供货、安装、调试、申请环保监测及环保验收、移交等事项。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5" w:name="规程及标准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规程及标准</w:t>
      </w:r>
    </w:p>
    <w:bookmarkEnd w:id="5"/>
    <w:p>
      <w:pPr>
        <w:pStyle w:val="15"/>
        <w:ind w:left="720" w:firstLine="0"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所提供的设备和材料在设计、制造、检查、试验、包装及运输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过程中应用的标准如下：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528"/>
        <w:gridCol w:w="2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5528" w:type="dxa"/>
          </w:tcPr>
          <w:p>
            <w:pPr>
              <w:ind w:firstLine="1540" w:firstLineChars="5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文  件  名  称</w:t>
            </w:r>
          </w:p>
        </w:tc>
        <w:tc>
          <w:tcPr>
            <w:tcW w:w="2177" w:type="dxa"/>
          </w:tcPr>
          <w:p>
            <w:pPr>
              <w:ind w:firstLine="420" w:firstLineChars="1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编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1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中华人民共和国大气污染防治法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2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锅炉大气污染物排放标准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GB13271-2014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电力建设施工及验收技术规范（焊接篇）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DJ5007-92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4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电力建设施工及验收技术规范（化学篇）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DL/T58-81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5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电力建设施工及验收技术规范（热工仪表及控制篇）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SDJ279-90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6</w:t>
            </w:r>
          </w:p>
        </w:tc>
        <w:tc>
          <w:tcPr>
            <w:tcW w:w="5528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工业设备、管道防腐蚀工程施工及验收规范</w:t>
            </w:r>
          </w:p>
        </w:tc>
        <w:tc>
          <w:tcPr>
            <w:tcW w:w="2177" w:type="dxa"/>
          </w:tcPr>
          <w:p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HGJ229-91</w:t>
            </w:r>
          </w:p>
        </w:tc>
      </w:tr>
    </w:tbl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6" w:name="技术要求及性能数据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技术要求及性能数据</w:t>
      </w:r>
    </w:p>
    <w:bookmarkEnd w:id="6"/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4.1 技术要求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（1）烟气脱硝工艺应收成熟的，设备应收全新可靠的，能确保高效低耗。不接受任何试验性质的设备、工艺。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（2）脱硝装置应能在锅炉最低负荷20%—133%工况下的任何符合持续安全运行。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（3）装置的可利用率大于等于98%，寿命为30年，大修期5年以上。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（4）对于容易损耗、磨损或出现故障并因此装置运行性能的所有设备（如喷枪），设计时要充分考虑更换检修的便利。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（5）喷枪安装位置要选择在合适的地方，以确保脱硝效率。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（6）泵、喷枪、流量计、阀门等设备，卖方需提供三家以上由买方审查确认。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（7）如需压缩空气，亦在卖方负责范畴内。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（8）卖方需注明氨水储罐、稀释水储罐的材质；储罐的容量需满足30吨锅炉10天的用量。氨水储罐还需考虑防晒及超压措施。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 （9）脱硝控制系统采用PLC控制，并和目前的脱硫控制系统进行整合，系统应具有相关的报表及曲线功能，便于环保部门翻查历史数据。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（10）脱硝控制系统应和烟气在线检测仪器连线，实行远程自动调节脱硝剂的喷入量，确保氮氧化物的排放达标。卖方为此需配置足够的电动阀门或电动执行机构。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 （11）技术参数(空白处需卖方填写)</w:t>
      </w:r>
    </w:p>
    <w:tbl>
      <w:tblPr>
        <w:tblStyle w:val="13"/>
        <w:tblW w:w="818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173"/>
        <w:gridCol w:w="1507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3173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项    目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单   位</w:t>
            </w:r>
          </w:p>
        </w:tc>
        <w:tc>
          <w:tcPr>
            <w:tcW w:w="260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一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技术参数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1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链条锅炉蒸发量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t/h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链条锅炉实际蒸发量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t/h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2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处理烟气量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m3/h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96000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进口烟气温度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℃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4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NOX</w:t>
            </w:r>
            <w:r>
              <w:rPr>
                <w:rFonts w:hint="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原始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浓度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mg/Nm3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5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NOX出口浓度（低氮燃烧）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mg/Nm3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NOX出口浓度（SNCR脱硝）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mg/Nm3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6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脱硝效率(低氮燃烧）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％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脱硝效率（SNCR）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7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氨逃逸率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ind w:firstLine="420" w:firstLineChars="1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ppm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8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年操作时数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hr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9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随主机运行率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%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≥98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二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经济运行指标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1</w:t>
            </w: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物料消耗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脱硝剂种类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脱硝剂消耗量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kg/h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系统耗水量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m3/h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系统耗电量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kWh/h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3173" w:type="dxa"/>
            <w:vAlign w:val="center"/>
          </w:tcPr>
          <w:p>
            <w:pPr>
              <w:spacing w:line="300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系统耗气量</w:t>
            </w:r>
          </w:p>
        </w:tc>
        <w:tc>
          <w:tcPr>
            <w:tcW w:w="1507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  <w:t>m3/h</w:t>
            </w:r>
          </w:p>
        </w:tc>
        <w:tc>
          <w:tcPr>
            <w:tcW w:w="2604" w:type="dxa"/>
            <w:vAlign w:val="center"/>
          </w:tcPr>
          <w:p>
            <w:pPr>
              <w:spacing w:line="300" w:lineRule="auto"/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2"/>
                <w:lang w:val="en-US" w:eastAsia="zh-CN" w:bidi="ar-SA"/>
              </w:rPr>
            </w:pPr>
          </w:p>
        </w:tc>
      </w:tr>
    </w:tbl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7" w:name="双方职责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双方职责</w:t>
      </w:r>
      <w:bookmarkEnd w:id="7"/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5.1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方为脱硝装置总承包方，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方负责：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（1）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 xml:space="preserve">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脱硝装置的设计、土建施工(选项报价）、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供货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、安装、调试、申请环保验收并交付给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（2） 脱硝控制系统的编程组态；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（3）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 xml:space="preserve">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提供除尘及脱硫的技术方案及图纸等资料。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5.2 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方仅负责：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（1）审查脱硝方案及图纸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，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但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招标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方的审查，并不能减免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投标方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的责任；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（2）提供施工场地、提供水电的接点给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投标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方（施工水电需装表计费）；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（3）提供脱硝装置的电源接点。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pStyle w:val="15"/>
        <w:numPr>
          <w:ilvl w:val="0"/>
          <w:numId w:val="2"/>
        </w:numPr>
        <w:ind w:firstLineChars="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bookmarkStart w:id="8" w:name="技术资料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技术资料</w:t>
      </w:r>
    </w:p>
    <w:bookmarkEnd w:id="8"/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6.1 卖方应提交响应标书的所有资料，但有差异时，应提供差异表。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6.2 卖方投标时应提供如下资料：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a. 卖方公司介绍、设计及工程资质；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b. 脱硝技术方案；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c. 脱硝工艺系统图、平面布置图、设备清单，技术参数；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d. 运行费用分析表；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e. 性能保证值；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f. 工程实施计划（含设计进度），人力机具计划；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g. 业绩表并附业主方的联系电话。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7、</w:t>
      </w:r>
      <w:bookmarkStart w:id="9" w:name="工期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工期</w:t>
      </w:r>
    </w:p>
    <w:bookmarkEnd w:id="9"/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总工期：80天。</w:t>
      </w:r>
    </w:p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设计工期：15日历天（合同签署之日起计算）。</w:t>
      </w:r>
    </w:p>
    <w:p>
      <w:pPr>
        <w:ind w:firstLine="420" w:firstLineChars="15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施工工期：65日历天（合同签署后，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至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通过环保</w:t>
      </w: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局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验收为完工标志）。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br w:type="textWrapping"/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8、</w:t>
      </w:r>
      <w:bookmarkStart w:id="10" w:name="设备检验及性能验收试验"/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设备检验及性能验收试验</w:t>
      </w:r>
      <w:bookmarkEnd w:id="10"/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从装置启动开始，应经历一段时间的调试，连续运行和性能试验。投标方认为合格，并向业主提交了全部性能试验报告后开始验收试验。</w:t>
      </w:r>
    </w:p>
    <w:p>
      <w:pPr>
        <w:ind w:firstLine="540"/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验收试验由卖方组织，买方配合进行，以通过环保局的验收为依据，所需检测费用、交政府部门的费用均由卖方负责，直至获得环保部门的环保验收合格证为止。</w:t>
      </w:r>
    </w:p>
    <w:p>
      <w:pPr>
        <w:numPr>
          <w:ilvl w:val="0"/>
          <w:numId w:val="3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卖方公司介绍、设计及工程资质；</w:t>
      </w:r>
    </w:p>
    <w:p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numPr>
          <w:ilvl w:val="0"/>
          <w:numId w:val="3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脱硝技术方案；</w:t>
      </w:r>
    </w:p>
    <w:p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 xml:space="preserve">11  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脱硝工艺系统图、平面布置图、设备清单，技术参数；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numPr>
          <w:ilvl w:val="0"/>
          <w:numId w:val="4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. 运行费用分析表；</w:t>
      </w:r>
    </w:p>
    <w:p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13、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>工程实施计划（含设计进度），人力机具计划；</w:t>
      </w:r>
    </w:p>
    <w:p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eastAsia" w:cstheme="minorBidi"/>
          <w:color w:val="auto"/>
          <w:kern w:val="2"/>
          <w:sz w:val="28"/>
          <w:szCs w:val="22"/>
          <w:lang w:val="en-US" w:eastAsia="zh-CN" w:bidi="ar-SA"/>
        </w:rPr>
        <w:t>14、</w:t>
      </w:r>
      <w: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  <w:t xml:space="preserve"> 业绩表并附业主方的联系电话。</w:t>
      </w:r>
    </w:p>
    <w:p>
      <w:pPr>
        <w:rPr>
          <w:rFonts w:hint="eastAsia" w:asciiTheme="minorHAnsi" w:hAnsiTheme="minorHAnsi" w:eastAsiaTheme="minorEastAsia" w:cstheme="minorBidi"/>
          <w:color w:val="auto"/>
          <w:kern w:val="2"/>
          <w:sz w:val="28"/>
          <w:szCs w:val="22"/>
          <w:lang w:val="en-US" w:eastAsia="zh-CN" w:bidi="ar-SA"/>
        </w:rPr>
      </w:pPr>
    </w:p>
    <w:bookmarkEnd w:id="11"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RomanS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sdt>
      <w:sdtPr>
        <w:id w:val="35202340"/>
      </w:sdtPr>
      <w:sdtContent>
        <w:sdt>
          <w:sdtPr>
            <w:id w:val="171357217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sdt>
      <w:sdtPr>
        <w:id w:val="35202340"/>
      </w:sdtPr>
      <w:sdtContent>
        <w:sdt>
          <w:sdtPr>
            <w:id w:val="171357217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68961"/>
    <w:multiLevelType w:val="singleLevel"/>
    <w:tmpl w:val="59B68961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59B68973"/>
    <w:multiLevelType w:val="singleLevel"/>
    <w:tmpl w:val="59B68973"/>
    <w:lvl w:ilvl="0" w:tentative="0">
      <w:start w:val="12"/>
      <w:numFmt w:val="decimal"/>
      <w:suff w:val="nothing"/>
      <w:lvlText w:val="%1、"/>
      <w:lvlJc w:val="left"/>
    </w:lvl>
  </w:abstractNum>
  <w:abstractNum w:abstractNumId="2">
    <w:nsid w:val="68402342"/>
    <w:multiLevelType w:val="multilevel"/>
    <w:tmpl w:val="68402342"/>
    <w:lvl w:ilvl="0" w:tentative="0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E585C41"/>
    <w:multiLevelType w:val="multilevel"/>
    <w:tmpl w:val="7E585C4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A4"/>
    <w:rsid w:val="00013A8F"/>
    <w:rsid w:val="0005158D"/>
    <w:rsid w:val="00052123"/>
    <w:rsid w:val="000A0560"/>
    <w:rsid w:val="000B4294"/>
    <w:rsid w:val="000B7DB6"/>
    <w:rsid w:val="000D5318"/>
    <w:rsid w:val="000D75D2"/>
    <w:rsid w:val="000D76A4"/>
    <w:rsid w:val="00116470"/>
    <w:rsid w:val="00127AB0"/>
    <w:rsid w:val="00143BBC"/>
    <w:rsid w:val="00203A8C"/>
    <w:rsid w:val="00285DB2"/>
    <w:rsid w:val="00286996"/>
    <w:rsid w:val="00287D3E"/>
    <w:rsid w:val="002C0D16"/>
    <w:rsid w:val="002C47C1"/>
    <w:rsid w:val="002C6661"/>
    <w:rsid w:val="00363F06"/>
    <w:rsid w:val="00367EF8"/>
    <w:rsid w:val="003C2619"/>
    <w:rsid w:val="003D2BA4"/>
    <w:rsid w:val="0042711C"/>
    <w:rsid w:val="0043546A"/>
    <w:rsid w:val="00473A7B"/>
    <w:rsid w:val="004A70A1"/>
    <w:rsid w:val="004C0758"/>
    <w:rsid w:val="004E75FB"/>
    <w:rsid w:val="004F5CF4"/>
    <w:rsid w:val="00521998"/>
    <w:rsid w:val="00527905"/>
    <w:rsid w:val="005614CB"/>
    <w:rsid w:val="0056548B"/>
    <w:rsid w:val="00570B64"/>
    <w:rsid w:val="005B4069"/>
    <w:rsid w:val="005B50E0"/>
    <w:rsid w:val="0060119D"/>
    <w:rsid w:val="00610B3E"/>
    <w:rsid w:val="0061797C"/>
    <w:rsid w:val="006401E5"/>
    <w:rsid w:val="00642044"/>
    <w:rsid w:val="006458AB"/>
    <w:rsid w:val="00655700"/>
    <w:rsid w:val="006772AF"/>
    <w:rsid w:val="006A0A29"/>
    <w:rsid w:val="006A5BBF"/>
    <w:rsid w:val="006A61AE"/>
    <w:rsid w:val="006B0672"/>
    <w:rsid w:val="006C1392"/>
    <w:rsid w:val="006D15F6"/>
    <w:rsid w:val="007004C8"/>
    <w:rsid w:val="00706A1C"/>
    <w:rsid w:val="007245A2"/>
    <w:rsid w:val="00726D93"/>
    <w:rsid w:val="00744994"/>
    <w:rsid w:val="00745A5B"/>
    <w:rsid w:val="007569F5"/>
    <w:rsid w:val="00765E87"/>
    <w:rsid w:val="007906B8"/>
    <w:rsid w:val="007C7587"/>
    <w:rsid w:val="007D77D6"/>
    <w:rsid w:val="00862F58"/>
    <w:rsid w:val="00881CA8"/>
    <w:rsid w:val="00891E77"/>
    <w:rsid w:val="008B5C88"/>
    <w:rsid w:val="008D3DBB"/>
    <w:rsid w:val="008E539A"/>
    <w:rsid w:val="00921631"/>
    <w:rsid w:val="009412A0"/>
    <w:rsid w:val="00941361"/>
    <w:rsid w:val="00942382"/>
    <w:rsid w:val="00970E62"/>
    <w:rsid w:val="00975E78"/>
    <w:rsid w:val="009B17A0"/>
    <w:rsid w:val="009C6BD5"/>
    <w:rsid w:val="009D7A52"/>
    <w:rsid w:val="009F4E75"/>
    <w:rsid w:val="00A1551F"/>
    <w:rsid w:val="00A349D6"/>
    <w:rsid w:val="00A8599E"/>
    <w:rsid w:val="00AA5738"/>
    <w:rsid w:val="00B14EA9"/>
    <w:rsid w:val="00B403FB"/>
    <w:rsid w:val="00B54C8A"/>
    <w:rsid w:val="00B93DA7"/>
    <w:rsid w:val="00BA1C0F"/>
    <w:rsid w:val="00BC59B3"/>
    <w:rsid w:val="00BD2E63"/>
    <w:rsid w:val="00BD6829"/>
    <w:rsid w:val="00BE082D"/>
    <w:rsid w:val="00BE33FC"/>
    <w:rsid w:val="00BF020F"/>
    <w:rsid w:val="00BF14D9"/>
    <w:rsid w:val="00C04156"/>
    <w:rsid w:val="00C20E8A"/>
    <w:rsid w:val="00C57715"/>
    <w:rsid w:val="00C626DF"/>
    <w:rsid w:val="00C82B5A"/>
    <w:rsid w:val="00C87628"/>
    <w:rsid w:val="00C93172"/>
    <w:rsid w:val="00C94F29"/>
    <w:rsid w:val="00CA1487"/>
    <w:rsid w:val="00CA2AD8"/>
    <w:rsid w:val="00CA307A"/>
    <w:rsid w:val="00CA4B21"/>
    <w:rsid w:val="00CB05B3"/>
    <w:rsid w:val="00CC052C"/>
    <w:rsid w:val="00CE6857"/>
    <w:rsid w:val="00CF37F9"/>
    <w:rsid w:val="00D329E4"/>
    <w:rsid w:val="00D51354"/>
    <w:rsid w:val="00D97051"/>
    <w:rsid w:val="00DA11EB"/>
    <w:rsid w:val="00DB3D24"/>
    <w:rsid w:val="00DC4EB9"/>
    <w:rsid w:val="00E246A4"/>
    <w:rsid w:val="00E40578"/>
    <w:rsid w:val="00E60F30"/>
    <w:rsid w:val="00EA4394"/>
    <w:rsid w:val="00EB6018"/>
    <w:rsid w:val="00ED2504"/>
    <w:rsid w:val="00EE219C"/>
    <w:rsid w:val="00EE6978"/>
    <w:rsid w:val="00EF2DCF"/>
    <w:rsid w:val="00F1630C"/>
    <w:rsid w:val="00F31189"/>
    <w:rsid w:val="00F42FE2"/>
    <w:rsid w:val="00F527F0"/>
    <w:rsid w:val="00F674B1"/>
    <w:rsid w:val="00F71F36"/>
    <w:rsid w:val="00F74F07"/>
    <w:rsid w:val="00F75A1E"/>
    <w:rsid w:val="00FA0087"/>
    <w:rsid w:val="00FE3ED0"/>
    <w:rsid w:val="067E17CB"/>
    <w:rsid w:val="0B3042AE"/>
    <w:rsid w:val="0C8D33F4"/>
    <w:rsid w:val="0D2B01CA"/>
    <w:rsid w:val="0E106808"/>
    <w:rsid w:val="0F1C2B83"/>
    <w:rsid w:val="10633C64"/>
    <w:rsid w:val="113879FE"/>
    <w:rsid w:val="16E72C91"/>
    <w:rsid w:val="1750557A"/>
    <w:rsid w:val="19265A7C"/>
    <w:rsid w:val="1BAF2A56"/>
    <w:rsid w:val="1BB8568D"/>
    <w:rsid w:val="1D37409C"/>
    <w:rsid w:val="1F266ED4"/>
    <w:rsid w:val="208D4910"/>
    <w:rsid w:val="21A0391E"/>
    <w:rsid w:val="2367327C"/>
    <w:rsid w:val="24CE3966"/>
    <w:rsid w:val="257B1BE0"/>
    <w:rsid w:val="26AF0377"/>
    <w:rsid w:val="2A520493"/>
    <w:rsid w:val="2DE85100"/>
    <w:rsid w:val="2FEC0F57"/>
    <w:rsid w:val="30A31674"/>
    <w:rsid w:val="324747F1"/>
    <w:rsid w:val="32524316"/>
    <w:rsid w:val="32FC295E"/>
    <w:rsid w:val="33474506"/>
    <w:rsid w:val="33802F3C"/>
    <w:rsid w:val="34D47DB1"/>
    <w:rsid w:val="34FA0307"/>
    <w:rsid w:val="35D560F3"/>
    <w:rsid w:val="37533486"/>
    <w:rsid w:val="3A2F79B2"/>
    <w:rsid w:val="3A634172"/>
    <w:rsid w:val="3ABC3AF1"/>
    <w:rsid w:val="3AD368B1"/>
    <w:rsid w:val="3B7F34F4"/>
    <w:rsid w:val="3C755E79"/>
    <w:rsid w:val="3DD53E9A"/>
    <w:rsid w:val="3FA629CD"/>
    <w:rsid w:val="40BA6E56"/>
    <w:rsid w:val="412304BC"/>
    <w:rsid w:val="42E755DF"/>
    <w:rsid w:val="42F1656F"/>
    <w:rsid w:val="439C238A"/>
    <w:rsid w:val="454F0CB6"/>
    <w:rsid w:val="464F0963"/>
    <w:rsid w:val="4687387C"/>
    <w:rsid w:val="47B41AAE"/>
    <w:rsid w:val="494A4E52"/>
    <w:rsid w:val="4D2D3DF9"/>
    <w:rsid w:val="4F593BE1"/>
    <w:rsid w:val="51A713D2"/>
    <w:rsid w:val="563629EB"/>
    <w:rsid w:val="581F2BA3"/>
    <w:rsid w:val="5A0A2FDB"/>
    <w:rsid w:val="5B0276EA"/>
    <w:rsid w:val="5B407895"/>
    <w:rsid w:val="5BFC65F5"/>
    <w:rsid w:val="5C902F93"/>
    <w:rsid w:val="5D0E3CEF"/>
    <w:rsid w:val="5D976DF7"/>
    <w:rsid w:val="5F91252F"/>
    <w:rsid w:val="5F922389"/>
    <w:rsid w:val="60ED5288"/>
    <w:rsid w:val="627B164B"/>
    <w:rsid w:val="63B31E02"/>
    <w:rsid w:val="63C359DF"/>
    <w:rsid w:val="666437B2"/>
    <w:rsid w:val="668F7D3D"/>
    <w:rsid w:val="671A1871"/>
    <w:rsid w:val="68EA32ED"/>
    <w:rsid w:val="6A1B4F9D"/>
    <w:rsid w:val="6AA623B7"/>
    <w:rsid w:val="6EA83E6A"/>
    <w:rsid w:val="6EDD3573"/>
    <w:rsid w:val="6F5F3308"/>
    <w:rsid w:val="718413B9"/>
    <w:rsid w:val="751D4B03"/>
    <w:rsid w:val="7521072F"/>
    <w:rsid w:val="78BC5321"/>
    <w:rsid w:val="79216FC3"/>
    <w:rsid w:val="7A5828A0"/>
    <w:rsid w:val="7B8A33AD"/>
    <w:rsid w:val="7D8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3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4">
    <w:name w:val="toc 3"/>
    <w:basedOn w:val="1"/>
    <w:next w:val="1"/>
    <w:unhideWhenUsed/>
    <w:uiPriority w:val="39"/>
    <w:pPr>
      <w:ind w:left="840" w:leftChars="400"/>
    </w:p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unhideWhenUsed/>
    <w:qFormat/>
    <w:uiPriority w:val="39"/>
  </w:style>
  <w:style w:type="paragraph" w:styleId="8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character" w:styleId="11">
    <w:name w:val="FollowedHyperlink"/>
    <w:basedOn w:val="10"/>
    <w:unhideWhenUsed/>
    <w:qFormat/>
    <w:uiPriority w:val="99"/>
    <w:rPr>
      <w:color w:val="800080"/>
      <w:u w:val="single"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8">
    <w:name w:val="xl29"/>
    <w:basedOn w:val="1"/>
    <w:qFormat/>
    <w:uiPriority w:val="0"/>
    <w:pPr>
      <w:widowControl/>
      <w:spacing w:before="100" w:after="100"/>
      <w:jc w:val="center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BCDEB-C5C6-4E25-BD87-A285102A83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430</Words>
  <Characters>2452</Characters>
  <Lines>20</Lines>
  <Paragraphs>5</Paragraphs>
  <ScaleCrop>false</ScaleCrop>
  <LinksUpToDate>false</LinksUpToDate>
  <CharactersWithSpaces>2877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2015-08-13T06:51:00Z</dcterms:created>
  <dc:creator>Administrator</dc:creator>
  <cp:lastModifiedBy>heyue</cp:lastModifiedBy>
  <dcterms:modified xsi:type="dcterms:W3CDTF">2017-09-20T09:38:19Z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