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/>
          <w:color w:val="auto"/>
          <w:sz w:val="36"/>
          <w:szCs w:val="36"/>
        </w:rPr>
      </w:pPr>
      <w:r>
        <w:rPr>
          <w:rFonts w:hint="eastAsia" w:ascii="微软雅黑" w:hAnsi="微软雅黑"/>
          <w:color w:val="auto"/>
        </w:rPr>
        <w:t xml:space="preserve">                     </w:t>
      </w:r>
      <w:r>
        <w:rPr>
          <w:rFonts w:hint="eastAsia" w:ascii="微软雅黑" w:hAnsi="微软雅黑"/>
          <w:color w:val="auto"/>
          <w:sz w:val="36"/>
          <w:szCs w:val="36"/>
        </w:rPr>
        <w:t xml:space="preserve">  </w:t>
      </w:r>
    </w:p>
    <w:p>
      <w:pPr>
        <w:ind w:firstLine="522" w:firstLineChars="100"/>
        <w:rPr>
          <w:rFonts w:hint="eastAsia" w:ascii="宋体" w:hAnsi="宋体" w:eastAsia="宋体"/>
          <w:b/>
          <w:bCs/>
          <w:color w:val="auto"/>
          <w:sz w:val="52"/>
          <w:szCs w:val="52"/>
          <w:lang w:eastAsia="zh-CN"/>
        </w:rPr>
      </w:pPr>
      <w:r>
        <w:rPr>
          <w:rFonts w:hint="eastAsia" w:ascii="宋体" w:hAnsi="宋体"/>
          <w:b/>
          <w:bCs/>
          <w:color w:val="auto"/>
          <w:sz w:val="52"/>
          <w:szCs w:val="52"/>
          <w:lang w:eastAsia="zh-CN"/>
        </w:rPr>
        <w:t>常平环保专业基地集中供热工程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bCs/>
          <w:color w:val="auto"/>
          <w:sz w:val="32"/>
          <w:szCs w:val="20"/>
        </w:rPr>
      </w:pPr>
    </w:p>
    <w:p>
      <w:pPr>
        <w:jc w:val="center"/>
        <w:rPr>
          <w:rFonts w:hint="eastAsia" w:eastAsia="宋体"/>
          <w:b/>
          <w:bCs/>
          <w:color w:val="auto"/>
          <w:sz w:val="52"/>
          <w:lang w:eastAsia="zh-CN"/>
        </w:rPr>
      </w:pPr>
      <w:r>
        <w:rPr>
          <w:rFonts w:hint="eastAsia" w:eastAsia="宋体"/>
          <w:b/>
          <w:bCs/>
          <w:color w:val="auto"/>
          <w:sz w:val="52"/>
          <w:lang w:eastAsia="zh-CN"/>
        </w:rPr>
        <w:t>脱硝装置</w:t>
      </w:r>
    </w:p>
    <w:p>
      <w:pPr>
        <w:jc w:val="center"/>
        <w:rPr>
          <w:rFonts w:hint="eastAsia" w:eastAsia="宋体"/>
          <w:b/>
          <w:bCs/>
          <w:color w:val="auto"/>
          <w:sz w:val="52"/>
          <w:lang w:eastAsia="zh-CN"/>
        </w:rPr>
      </w:pPr>
    </w:p>
    <w:p>
      <w:pPr>
        <w:jc w:val="center"/>
        <w:rPr>
          <w:rFonts w:hint="eastAsia" w:eastAsia="宋体"/>
          <w:b/>
          <w:bCs/>
          <w:color w:val="auto"/>
          <w:sz w:val="52"/>
          <w:lang w:eastAsia="zh-CN"/>
        </w:rPr>
      </w:pPr>
    </w:p>
    <w:p>
      <w:pPr>
        <w:jc w:val="center"/>
        <w:rPr>
          <w:rFonts w:hint="eastAsia" w:eastAsia="宋体"/>
          <w:b/>
          <w:bCs/>
          <w:color w:val="auto"/>
          <w:sz w:val="52"/>
          <w:lang w:eastAsia="zh-CN"/>
        </w:rPr>
      </w:pPr>
    </w:p>
    <w:p>
      <w:pPr>
        <w:jc w:val="center"/>
        <w:rPr>
          <w:rFonts w:hint="eastAsia" w:eastAsia="宋体"/>
          <w:b/>
          <w:bCs/>
          <w:color w:val="auto"/>
          <w:sz w:val="52"/>
          <w:lang w:eastAsia="zh-CN"/>
        </w:rPr>
      </w:pPr>
    </w:p>
    <w:p>
      <w:pPr>
        <w:jc w:val="center"/>
        <w:rPr>
          <w:b/>
          <w:color w:val="auto"/>
          <w:sz w:val="44"/>
        </w:rPr>
      </w:pPr>
    </w:p>
    <w:p>
      <w:pPr>
        <w:rPr>
          <w:rFonts w:hint="eastAsia" w:eastAsia="华文新魏"/>
          <w:b/>
          <w:bCs/>
          <w:color w:val="auto"/>
          <w:sz w:val="84"/>
        </w:rPr>
      </w:pPr>
      <w:r>
        <w:rPr>
          <w:color w:val="auto"/>
          <w:sz w:val="28"/>
        </w:rPr>
        <w:t xml:space="preserve">        </w:t>
      </w:r>
      <w:r>
        <w:rPr>
          <w:b/>
          <w:bCs/>
          <w:color w:val="auto"/>
          <w:sz w:val="72"/>
        </w:rPr>
        <w:t xml:space="preserve"> </w:t>
      </w:r>
      <w:r>
        <w:rPr>
          <w:rFonts w:hint="eastAsia"/>
          <w:b/>
          <w:bCs/>
          <w:color w:val="auto"/>
          <w:sz w:val="72"/>
        </w:rPr>
        <w:t xml:space="preserve"> </w:t>
      </w:r>
      <w:r>
        <w:rPr>
          <w:rFonts w:hint="eastAsia"/>
          <w:b/>
          <w:bCs/>
          <w:color w:val="auto"/>
          <w:sz w:val="72"/>
          <w:lang w:val="en-US" w:eastAsia="zh-CN"/>
        </w:rPr>
        <w:t xml:space="preserve"> </w:t>
      </w:r>
      <w:r>
        <w:rPr>
          <w:rFonts w:hint="eastAsia" w:eastAsia="华文新魏"/>
          <w:b/>
          <w:bCs/>
          <w:color w:val="auto"/>
          <w:sz w:val="84"/>
        </w:rPr>
        <w:t>技术规范书</w:t>
      </w:r>
    </w:p>
    <w:p>
      <w:pPr>
        <w:adjustRightInd w:val="0"/>
        <w:snapToGrid w:val="0"/>
        <w:spacing w:line="360" w:lineRule="auto"/>
        <w:jc w:val="center"/>
        <w:rPr>
          <w:rFonts w:hint="eastAsia" w:ascii="华文中宋" w:hAnsi="宋体" w:eastAsia="华文中宋"/>
          <w:b/>
          <w:bCs/>
          <w:color w:val="auto"/>
          <w:sz w:val="7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华文中宋" w:hAnsi="宋体" w:eastAsia="华文中宋"/>
          <w:b/>
          <w:bCs/>
          <w:color w:val="auto"/>
          <w:sz w:val="7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华文中宋" w:hAnsi="宋体" w:eastAsia="华文中宋"/>
          <w:b/>
          <w:bCs/>
          <w:color w:val="auto"/>
          <w:sz w:val="7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华文中宋" w:hAnsi="宋体" w:eastAsia="华文中宋"/>
          <w:b/>
          <w:bCs/>
          <w:color w:val="auto"/>
          <w:sz w:val="36"/>
          <w:szCs w:val="20"/>
        </w:rPr>
      </w:pPr>
    </w:p>
    <w:p>
      <w:pPr>
        <w:adjustRightInd w:val="0"/>
        <w:snapToGrid w:val="0"/>
        <w:spacing w:before="240" w:beforeLines="100"/>
        <w:jc w:val="center"/>
        <w:rPr>
          <w:rFonts w:hint="eastAsia" w:ascii="华文中宋" w:hAnsi="华文中宋" w:eastAsia="华文中宋"/>
          <w:color w:val="auto"/>
          <w:sz w:val="24"/>
        </w:rPr>
      </w:pPr>
      <w:r>
        <w:rPr>
          <w:rFonts w:ascii="华文中宋" w:hAnsi="华文中宋" w:eastAsia="华文中宋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780415</wp:posOffset>
                </wp:positionH>
                <wp:positionV relativeFrom="paragraph">
                  <wp:posOffset>220980</wp:posOffset>
                </wp:positionV>
                <wp:extent cx="4000500" cy="361950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8"/>
                              <w:widowControl w:val="0"/>
                              <w:adjustRightInd w:val="0"/>
                              <w:snapToGrid w:val="0"/>
                              <w:spacing w:before="0" w:after="0"/>
                              <w:rPr>
                                <w:rFonts w:hint="eastAsia" w:ascii="Times New Roman" w:hAnsi="Times New Roman" w:eastAsia="宋体"/>
                                <w:b/>
                                <w:bCs/>
                                <w:kern w:val="2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/>
                                <w:b/>
                                <w:bCs/>
                                <w:kern w:val="2"/>
                                <w:sz w:val="32"/>
                                <w:szCs w:val="32"/>
                                <w:lang w:eastAsia="zh-CN"/>
                              </w:rPr>
                              <w:t>东莞市森力环保科技有限公司</w:t>
                            </w:r>
                          </w:p>
                          <w:p>
                            <w:pPr>
                              <w:pStyle w:val="18"/>
                              <w:widowControl w:val="0"/>
                              <w:adjustRightInd w:val="0"/>
                              <w:snapToGrid w:val="0"/>
                              <w:spacing w:before="0" w:after="0"/>
                              <w:rPr>
                                <w:rFonts w:hint="eastAsia" w:ascii="华文中宋" w:hAnsi="华文中宋" w:eastAsia="华文中宋"/>
                                <w:w w:val="130"/>
                                <w:kern w:val="2"/>
                                <w:szCs w:val="20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61.45pt;margin-top:17.4pt;height:28.5pt;width:315pt;z-index:251658240;mso-width-relative:page;mso-height-relative:page;" fillcolor="#FFFFFF" filled="t" stroked="f" coordsize="21600,21600" o:gfxdata="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DtqyrDWAAAA&#10;CQEAAA8AAAAAAAAAAQAgAAAAIgAAAGRycy9kb3ducmV2LnhtbFBLAQIUABQAAAAIAIdO4kDQrZkw&#10;rQEAADIDAAAOAAAAAAAAAAEAIAAAACUBAABkcnMvZTJvRG9jLnhtbFBLBQYAAAAABgAGAFkBAABE&#10;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8"/>
                        <w:widowControl w:val="0"/>
                        <w:adjustRightInd w:val="0"/>
                        <w:snapToGrid w:val="0"/>
                        <w:spacing w:before="0" w:after="0"/>
                        <w:rPr>
                          <w:rFonts w:hint="eastAsia" w:ascii="Times New Roman" w:hAnsi="Times New Roman" w:eastAsia="宋体"/>
                          <w:b/>
                          <w:bCs/>
                          <w:kern w:val="2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/>
                          <w:b/>
                          <w:bCs/>
                          <w:kern w:val="2"/>
                          <w:sz w:val="32"/>
                          <w:szCs w:val="32"/>
                          <w:lang w:eastAsia="zh-CN"/>
                        </w:rPr>
                        <w:t>东莞市森力环保科技有限公司</w:t>
                      </w:r>
                    </w:p>
                    <w:p>
                      <w:pPr>
                        <w:pStyle w:val="18"/>
                        <w:widowControl w:val="0"/>
                        <w:adjustRightInd w:val="0"/>
                        <w:snapToGrid w:val="0"/>
                        <w:spacing w:before="0" w:after="0"/>
                        <w:rPr>
                          <w:rFonts w:hint="eastAsia" w:ascii="华文中宋" w:hAnsi="华文中宋" w:eastAsia="华文中宋"/>
                          <w:w w:val="130"/>
                          <w:kern w:val="2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adjustRightInd w:val="0"/>
        <w:snapToGrid w:val="0"/>
        <w:spacing w:before="240" w:beforeLines="100"/>
        <w:jc w:val="center"/>
        <w:rPr>
          <w:rFonts w:hint="eastAsia" w:ascii="华文中宋" w:hAnsi="华文中宋" w:eastAsia="华文中宋"/>
          <w:color w:val="auto"/>
          <w:sz w:val="24"/>
          <w:lang w:val="en-US" w:eastAsia="zh-CN"/>
        </w:rPr>
      </w:pPr>
      <w:r>
        <w:rPr>
          <w:rFonts w:hint="eastAsia" w:ascii="华文中宋" w:hAnsi="华文中宋" w:eastAsia="华文中宋"/>
          <w:color w:val="auto"/>
          <w:sz w:val="24"/>
        </w:rPr>
        <w:t>201</w:t>
      </w:r>
      <w:r>
        <w:rPr>
          <w:rFonts w:hint="eastAsia" w:ascii="华文中宋" w:hAnsi="华文中宋" w:eastAsia="华文中宋"/>
          <w:color w:val="auto"/>
          <w:sz w:val="24"/>
          <w:lang w:val="en-US" w:eastAsia="zh-CN"/>
        </w:rPr>
        <w:t>7</w:t>
      </w:r>
      <w:r>
        <w:rPr>
          <w:rFonts w:ascii="华文中宋" w:hAnsi="华文中宋" w:eastAsia="华文中宋"/>
          <w:color w:val="auto"/>
          <w:sz w:val="24"/>
        </w:rPr>
        <w:t>年</w:t>
      </w:r>
      <w:r>
        <w:rPr>
          <w:rFonts w:hint="eastAsia" w:ascii="华文中宋" w:hAnsi="华文中宋" w:eastAsia="华文中宋"/>
          <w:color w:val="auto"/>
          <w:sz w:val="24"/>
          <w:lang w:val="en-US" w:eastAsia="zh-CN"/>
        </w:rPr>
        <w:t>11月24日</w:t>
      </w:r>
    </w:p>
    <w:p>
      <w:pPr>
        <w:adjustRightInd w:val="0"/>
        <w:snapToGrid w:val="0"/>
        <w:spacing w:before="240" w:beforeLines="100"/>
        <w:jc w:val="center"/>
        <w:rPr>
          <w:rFonts w:hint="eastAsia" w:ascii="华文中宋" w:hAnsi="华文中宋" w:eastAsia="华文中宋"/>
          <w:color w:val="auto"/>
          <w:sz w:val="24"/>
          <w:lang w:val="en-US" w:eastAsia="zh-CN"/>
        </w:rPr>
      </w:pPr>
    </w:p>
    <w:p>
      <w:pPr>
        <w:jc w:val="center"/>
        <w:outlineLvl w:val="0"/>
        <w:rPr>
          <w:rFonts w:hint="eastAsia" w:ascii="Arial" w:hAnsi="Arial" w:cs="Arial" w:eastAsiaTheme="minorEastAsia"/>
          <w:b/>
          <w:bCs/>
          <w:color w:val="auto"/>
          <w:sz w:val="28"/>
          <w:szCs w:val="28"/>
          <w:shd w:val="clear" w:color="auto" w:fill="FFFFFF"/>
          <w:lang w:eastAsia="zh-CN"/>
        </w:rPr>
      </w:pPr>
      <w:bookmarkStart w:id="0" w:name="_Toc5102"/>
      <w:bookmarkStart w:id="1" w:name="_Toc6654"/>
      <w:bookmarkStart w:id="2" w:name="_Toc16245"/>
      <w:r>
        <w:rPr>
          <w:rFonts w:hint="eastAsia" w:asciiTheme="minorHAnsi" w:hAnsiTheme="minorHAnsi" w:eastAsiaTheme="minorEastAsia" w:cstheme="minorBidi"/>
          <w:b/>
          <w:bCs/>
          <w:color w:val="auto"/>
          <w:kern w:val="2"/>
          <w:sz w:val="28"/>
          <w:szCs w:val="22"/>
          <w:lang w:val="en-US" w:eastAsia="zh-CN" w:bidi="ar-SA"/>
        </w:rPr>
        <w:t>目    录</w:t>
      </w:r>
      <w:bookmarkEnd w:id="0"/>
      <w:bookmarkEnd w:id="1"/>
      <w:bookmarkEnd w:id="2"/>
    </w:p>
    <w:p>
      <w:pPr>
        <w:ind w:left="280" w:hanging="280" w:hangingChars="100"/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instrText xml:space="preserve"> HYPERLINK \l "总则" </w:instrTex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Style w:val="11"/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总   则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.................................................1</w:t>
      </w:r>
    </w:p>
    <w:p>
      <w:pP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instrText xml:space="preserve"> HYPERLINK \l "工程概况" </w:instrTex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Style w:val="11"/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工程概况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................................................1</w:t>
      </w:r>
    </w:p>
    <w:p>
      <w:pP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3、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instrText xml:space="preserve"> HYPERLINK \l "规程及标准" </w:instrTex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Style w:val="11"/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规程及标准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.............................................2</w:t>
      </w:r>
    </w:p>
    <w:p>
      <w:pP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4、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instrText xml:space="preserve"> HYPERLINK \l "技术要求及性能数据" </w:instrTex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Style w:val="12"/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技术要求及性能数据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.....................................3</w:t>
      </w:r>
    </w:p>
    <w:p>
      <w:pP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5、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instrText xml:space="preserve"> HYPERLINK \l "双方职责" </w:instrTex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Style w:val="11"/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双方职责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...............................................5</w:t>
      </w:r>
    </w:p>
    <w:p>
      <w:pP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6、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instrText xml:space="preserve"> HYPERLINK \l "技术资料" </w:instrTex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Style w:val="12"/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技术资料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...............................................6</w:t>
      </w:r>
    </w:p>
    <w:p>
      <w:pP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7、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instrText xml:space="preserve"> HYPERLINK \l "工期" </w:instrTex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Style w:val="12"/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交货进度及工期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.........................................6</w:t>
      </w:r>
    </w:p>
    <w:p>
      <w:pP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8、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fldChar w:fldCharType="begin"/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instrText xml:space="preserve"> HYPERLINK \l "设备检验及性能验收试验" </w:instrTex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fldChar w:fldCharType="separate"/>
      </w:r>
      <w:r>
        <w:rPr>
          <w:rStyle w:val="12"/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设备检验及性能验收试验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fldChar w:fldCharType="end"/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.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.................................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6</w:t>
      </w:r>
    </w:p>
    <w:p>
      <w:pPr>
        <w:pStyle w:val="15"/>
        <w:ind w:left="0" w:leftChars="0" w:firstLine="0" w:firstLineChars="0"/>
        <w:outlineLvl w:val="0"/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numPr>
          <w:ilvl w:val="0"/>
          <w:numId w:val="1"/>
        </w:numPr>
        <w:ind w:firstLineChars="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bookmarkStart w:id="3" w:name="总则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总则</w:t>
      </w:r>
    </w:p>
    <w:bookmarkEnd w:id="3"/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1.1本技术规范书作为常平环保专业基地30吨链条锅炉脱硝的技术文件，包含脱硝的设计、结构、性能、制造、安装和试验等方面的技术要求，中标后的供货技术协议将以本规范书为基础签订。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1.2 本技术规范书中所提的是最低限度的技术要求，并未规定所有的技术要求和适用的标准，投标人提供至少符合本技术规范书和所列标准的高质量产品及服务，满足国家有关安全、环保等强制性标准的要求。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1.3 投标人按本技术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规范书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所列标准投标，如有较高的国家和行业强制性标准，按较高标准执行。投标人投标时承诺的所有优于本技术规范书要求的性能和指标，均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自动作为合同履行和验收时的标准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。</w:t>
      </w:r>
    </w:p>
    <w:p>
      <w:pPr>
        <w:pStyle w:val="15"/>
        <w:ind w:left="720" w:firstLine="0" w:firstLineChars="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2、</w:t>
      </w:r>
      <w:bookmarkStart w:id="4" w:name="工程概况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工程概况</w:t>
      </w:r>
      <w:bookmarkEnd w:id="4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：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项目名称：东莞市常平环保专业基地锅炉脱硝工程。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建设地址：东莞市司马，常平镇环保专业基地。</w:t>
      </w:r>
    </w:p>
    <w:p>
      <w:pPr>
        <w:ind w:firstLine="420" w:firstLineChars="15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常平环保专业基地为东莞规划的7个环保基地之一，目的是整合常平及周边镇不适合原地保留的洗水、印花企业，实行集中供热，集中处理污水，达到减排目的。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环保基地目前加建一台30吨的链条锅炉（锅炉实际出力为40吨/小时），并预留了75吨或更大吨位锅炉的位置。锅炉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设计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燃料为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印尼烟煤，校核燃料为山西烟煤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脱硝的实施分两步走: </w:t>
      </w:r>
    </w:p>
    <w:p>
      <w:pPr>
        <w:ind w:firstLine="560" w:firstLineChars="20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第一步先实施低氮燃烧（烟气再循环）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；</w:t>
      </w:r>
    </w:p>
    <w:p>
      <w:pPr>
        <w:ind w:firstLine="560" w:firstLineChars="20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第二步为SNCR脱硝（该项为选项报价，具体实施日期由招标方另行通知）。</w:t>
      </w:r>
    </w:p>
    <w:p>
      <w:pPr>
        <w:ind w:firstLine="560" w:firstLineChars="200"/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本工程为交钥匙工程，由中标方负责脱硝装置的设计（含土建设计）、土建施工（单列报价）、供货、安装、调试、申请环保监测及环保验收、移交等事项。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pStyle w:val="15"/>
        <w:numPr>
          <w:ilvl w:val="0"/>
          <w:numId w:val="2"/>
        </w:numPr>
        <w:ind w:firstLineChars="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bookmarkStart w:id="5" w:name="规程及标准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规程及标准</w:t>
      </w:r>
    </w:p>
    <w:bookmarkEnd w:id="5"/>
    <w:p>
      <w:pPr>
        <w:pStyle w:val="15"/>
        <w:ind w:left="720" w:firstLine="0" w:firstLineChars="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中标方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所提供的设备和材料在设计、制造、检查、试验、包装及运输过程中应用的标准如下：</w:t>
      </w:r>
    </w:p>
    <w:tbl>
      <w:tblPr>
        <w:tblStyle w:val="1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528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序号</w:t>
            </w:r>
          </w:p>
        </w:tc>
        <w:tc>
          <w:tcPr>
            <w:tcW w:w="5528" w:type="dxa"/>
          </w:tcPr>
          <w:p>
            <w:pPr>
              <w:ind w:firstLine="1540" w:firstLineChars="550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文  件  名  称</w:t>
            </w:r>
          </w:p>
        </w:tc>
        <w:tc>
          <w:tcPr>
            <w:tcW w:w="2177" w:type="dxa"/>
          </w:tcPr>
          <w:p>
            <w:pPr>
              <w:ind w:firstLine="420" w:firstLineChars="150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编 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1</w:t>
            </w:r>
          </w:p>
        </w:tc>
        <w:tc>
          <w:tcPr>
            <w:tcW w:w="5528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中华人民共和国大气污染防治法</w:t>
            </w:r>
          </w:p>
        </w:tc>
        <w:tc>
          <w:tcPr>
            <w:tcW w:w="217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2</w:t>
            </w:r>
          </w:p>
        </w:tc>
        <w:tc>
          <w:tcPr>
            <w:tcW w:w="5528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锅炉大气污染物排放标准</w:t>
            </w:r>
          </w:p>
        </w:tc>
        <w:tc>
          <w:tcPr>
            <w:tcW w:w="217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GB13271-2014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3</w:t>
            </w:r>
          </w:p>
        </w:tc>
        <w:tc>
          <w:tcPr>
            <w:tcW w:w="5528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电力建设施工及验收技术规范（焊接篇）</w:t>
            </w:r>
          </w:p>
        </w:tc>
        <w:tc>
          <w:tcPr>
            <w:tcW w:w="217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DJ5007-92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4</w:t>
            </w:r>
          </w:p>
        </w:tc>
        <w:tc>
          <w:tcPr>
            <w:tcW w:w="5528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电力建设施工及验收技术规范（化学篇）</w:t>
            </w:r>
          </w:p>
        </w:tc>
        <w:tc>
          <w:tcPr>
            <w:tcW w:w="217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DL/T58-81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5</w:t>
            </w:r>
          </w:p>
        </w:tc>
        <w:tc>
          <w:tcPr>
            <w:tcW w:w="5528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电力建设施工及验收技术规范（热工仪表及控制篇）</w:t>
            </w:r>
          </w:p>
        </w:tc>
        <w:tc>
          <w:tcPr>
            <w:tcW w:w="217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SDJ279-90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6</w:t>
            </w:r>
          </w:p>
        </w:tc>
        <w:tc>
          <w:tcPr>
            <w:tcW w:w="5528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工业设备、管道防腐蚀工程施工及验收规范</w:t>
            </w:r>
          </w:p>
        </w:tc>
        <w:tc>
          <w:tcPr>
            <w:tcW w:w="217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HGJ229-91</w:t>
            </w:r>
          </w:p>
        </w:tc>
      </w:tr>
    </w:tbl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pStyle w:val="15"/>
        <w:numPr>
          <w:ilvl w:val="0"/>
          <w:numId w:val="2"/>
        </w:numPr>
        <w:ind w:firstLineChars="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bookmarkStart w:id="6" w:name="技术要求及性能数据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技术要求及性能数据</w:t>
      </w:r>
    </w:p>
    <w:bookmarkEnd w:id="6"/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4.1 技术要求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（1）烟气脱硝工艺应收成熟的，设备应收全新可靠的，能确保高效低耗。不接受任何试验性质的设备、工艺。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（2）脱硝装置应能在锅炉最低负荷20%—133%工况下的任何符合持续安全运行。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（3）装置的可利用率大于等于98%，寿命为30年，大修期5年以上。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（4）对于容易损耗、磨损或出现故障并因此装置运行性能的所有设备（如喷枪），设计时要充分考虑更换检修的便利。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（5）喷枪安装位置要选择在合适的地方，以确保脱硝效率。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（6）泵、喷枪、流量计、阀门等设备，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投标方须在投标文件的技术标书中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提供三家以上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供招标方选择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（7）如需压缩空气，亦在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中标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方负责范畴内。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（8）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投标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须在招标文件的技术标书中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注明氨水储罐、稀释水储罐的材质；储罐的容量需满足30吨锅炉10天的用量。氨水储罐还需考虑防晒及超压措施。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（9）脱硝控制系统采用PLC控制，并和目前的脱硫控制系统进行整合，系统应具有相关的报表及曲线功能，便于环保部门翻查历史数据。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（10）脱硝控制系统应和烟气在线检测仪器连线，实行远程自动调节脱硝剂的喷入量，确保氮氧化物的排放达标。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中标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方为此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须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配置足够的电动阀门或电动执行机构。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（11）技术参数(空白处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由投标方在投标文件的技术标书中明确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)</w:t>
      </w:r>
    </w:p>
    <w:tbl>
      <w:tblPr>
        <w:tblStyle w:val="13"/>
        <w:tblW w:w="818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3173"/>
        <w:gridCol w:w="1507"/>
        <w:gridCol w:w="2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序号</w:t>
            </w:r>
          </w:p>
        </w:tc>
        <w:tc>
          <w:tcPr>
            <w:tcW w:w="3173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项    目</w:t>
            </w:r>
          </w:p>
        </w:tc>
        <w:tc>
          <w:tcPr>
            <w:tcW w:w="1507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单   位</w:t>
            </w:r>
          </w:p>
        </w:tc>
        <w:tc>
          <w:tcPr>
            <w:tcW w:w="260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一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技术参数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1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链条锅炉蒸发量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t/h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链条锅炉实际蒸发量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t/h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2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处理烟气量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m3/h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96000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3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进口烟气温度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℃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4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NOX</w:t>
            </w:r>
            <w:r>
              <w:rPr>
                <w:rFonts w:hint="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原始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浓度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mg/Nm3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5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NOX出口浓度（低氮燃烧）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mg/Nm3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NOX出口浓度（SNCR脱硝）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mg/Nm3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6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脱硝效率(低氮燃烧）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％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脱硝效率（SNCR）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7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氨逃逸率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ind w:firstLine="420" w:firstLineChars="150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ppm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8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年操作时数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hr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9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随主机运行率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%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≥98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二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经济运行指标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1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物料消耗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脱硝剂种类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脱硝剂消耗量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kg/h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系统耗水量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m3/h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系统耗电量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kWh/h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系统耗气量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m3/h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</w:tbl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pStyle w:val="15"/>
        <w:numPr>
          <w:ilvl w:val="0"/>
          <w:numId w:val="2"/>
        </w:numPr>
        <w:ind w:firstLineChars="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bookmarkStart w:id="7" w:name="双方职责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双方职责</w:t>
      </w:r>
      <w:bookmarkEnd w:id="7"/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5.1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中标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方为脱硝装置总承包方，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须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负责：</w:t>
      </w:r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（1）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 xml:space="preserve"> 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脱硝装置的设计、土建施工(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单列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报价）、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供货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、安装、调试、申请环保验收并交付给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招标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方；</w:t>
      </w:r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（2） 脱硝控制系统的编程组态；</w:t>
      </w:r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（3）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 xml:space="preserve"> 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提供除尘及脱硫的技术方案及图纸等资料。</w:t>
      </w:r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5.2 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招标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方仅负责：</w:t>
      </w:r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（1）审查脱硝方案及图纸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但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招标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方的审查，并不能减免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中标方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的责任；</w:t>
      </w:r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（2）提供施工场地、提供水电的接点给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中标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方（施工水电需装表计费）；</w:t>
      </w:r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（3）提供脱硝装置的电源接点。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pStyle w:val="15"/>
        <w:numPr>
          <w:ilvl w:val="0"/>
          <w:numId w:val="2"/>
        </w:numPr>
        <w:ind w:firstLineChars="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bookmarkStart w:id="8" w:name="技术资料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技术资料</w:t>
      </w:r>
    </w:p>
    <w:bookmarkEnd w:id="8"/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6.1 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投标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须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提交响应标书的所有资料，有差异时，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须在《投标偏离表》中注明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6.2 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投标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须在投标文件的技术标书中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提供如下资料：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a. 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投标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方介绍、设计及工程资质；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b. 脱硝技术方案；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c. 脱硝工艺系统图、平面布置图、设备清单，技术参数；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d. 运行费用分析表；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e. 性能保证值；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f. 工程实施计划（含设计进度），人力机具计划；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g. 业绩表并附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业绩使用单位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的联系电话。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7、</w:t>
      </w:r>
      <w:bookmarkStart w:id="9" w:name="工期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工期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（能提供更短工期的投标单位将获得优先合作考虑</w:t>
      </w:r>
      <w:bookmarkStart w:id="11" w:name="_GoBack"/>
      <w:bookmarkEnd w:id="11"/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）</w:t>
      </w:r>
    </w:p>
    <w:bookmarkEnd w:id="9"/>
    <w:p>
      <w:pPr>
        <w:ind w:firstLine="420" w:firstLineChars="15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设计工期：15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个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日历天（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中标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合同签署之日起计算）。</w:t>
      </w:r>
    </w:p>
    <w:p>
      <w:pPr>
        <w:ind w:firstLine="420" w:firstLineChars="15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施工工期：65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个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日历天（中标合同签署之日起计算，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至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通过环保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局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验收为完工标志）。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br w:type="textWrapping"/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8、</w:t>
      </w:r>
      <w:bookmarkStart w:id="10" w:name="设备检验及性能验收试验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设备检验及性能验收试验</w:t>
      </w:r>
      <w:bookmarkEnd w:id="10"/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从装置启动开始，应经历一段时间的调试，连续运行和性能试验。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中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标方认为合格，并向业主提交了全部性能试验报告后开始验收试验。</w:t>
      </w:r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2"/>
          <w:lang w:val="en-US" w:eastAsia="zh-CN" w:bidi="ar-SA"/>
        </w:rPr>
        <w:t>验收试验由</w:t>
      </w:r>
      <w:r>
        <w:rPr>
          <w:rFonts w:hint="eastAsia" w:cstheme="minorBidi"/>
          <w:color w:val="FF0000"/>
          <w:kern w:val="2"/>
          <w:sz w:val="28"/>
          <w:szCs w:val="22"/>
          <w:lang w:val="en-US" w:eastAsia="zh-CN" w:bidi="ar-SA"/>
        </w:rPr>
        <w:t>中标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2"/>
          <w:lang w:val="en-US" w:eastAsia="zh-CN" w:bidi="ar-SA"/>
        </w:rPr>
        <w:t>方组织，</w:t>
      </w:r>
      <w:r>
        <w:rPr>
          <w:rFonts w:hint="eastAsia" w:cstheme="minorBidi"/>
          <w:color w:val="FF0000"/>
          <w:kern w:val="2"/>
          <w:sz w:val="28"/>
          <w:szCs w:val="22"/>
          <w:lang w:val="en-US" w:eastAsia="zh-CN" w:bidi="ar-SA"/>
        </w:rPr>
        <w:t>招标</w:t>
      </w:r>
      <w:r>
        <w:rPr>
          <w:rFonts w:hint="eastAsia" w:asciiTheme="minorHAnsi" w:hAnsiTheme="minorHAnsi" w:eastAsiaTheme="minorEastAsia" w:cstheme="minorBidi"/>
          <w:color w:val="FF0000"/>
          <w:kern w:val="2"/>
          <w:sz w:val="28"/>
          <w:szCs w:val="22"/>
          <w:lang w:val="en-US" w:eastAsia="zh-CN" w:bidi="ar-SA"/>
        </w:rPr>
        <w:t>方配合进行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，以通过环保局的验收为依据，所需检测费用、交政府部门的费用均由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中标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方负责，直至获得环保部门的环保验收合格证为止。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RomanS">
    <w:altName w:val="Palatino Linotype"/>
    <w:panose1 w:val="02000400000000000000"/>
    <w:charset w:val="00"/>
    <w:family w:val="auto"/>
    <w:pitch w:val="default"/>
    <w:sig w:usb0="00000000" w:usb1="00000000" w:usb2="00000000" w:usb3="00000000" w:csb0="000001FF" w:csb1="00000000"/>
  </w:font>
  <w:font w:name="Century Gothic">
    <w:altName w:val="Trebuchet MS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微软雅黑">
    <w:altName w:val="黑体"/>
    <w:panose1 w:val="020B0503020204020204"/>
    <w:charset w:val="86"/>
    <w:family w:val="roman"/>
    <w:pitch w:val="default"/>
    <w:sig w:usb0="00000000" w:usb1="00000000" w:usb2="00000016" w:usb3="00000000" w:csb0="0004001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Vrinda">
    <w:altName w:val="Lucida Sans Unicode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7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7</w:t>
                    </w:r>
                    <w:r>
                      <w:rPr>
                        <w:rFonts w:hint="eastAsia"/>
                        <w:lang w:eastAsia="zh-CN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sdt>
      <w:sdtPr>
        <w:id w:val="35202340"/>
      </w:sdtPr>
      <w:sdtContent>
        <w:sdt>
          <w:sdtPr>
            <w:id w:val="171357217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02342"/>
    <w:multiLevelType w:val="multilevel"/>
    <w:tmpl w:val="68402342"/>
    <w:lvl w:ilvl="0" w:tentative="0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E585C41"/>
    <w:multiLevelType w:val="multilevel"/>
    <w:tmpl w:val="7E585C41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BA4"/>
    <w:rsid w:val="00013A8F"/>
    <w:rsid w:val="0005158D"/>
    <w:rsid w:val="00052123"/>
    <w:rsid w:val="000A0560"/>
    <w:rsid w:val="000B4294"/>
    <w:rsid w:val="000B7DB6"/>
    <w:rsid w:val="000D5318"/>
    <w:rsid w:val="000D75D2"/>
    <w:rsid w:val="000D76A4"/>
    <w:rsid w:val="00116470"/>
    <w:rsid w:val="00127AB0"/>
    <w:rsid w:val="00143BBC"/>
    <w:rsid w:val="00203A8C"/>
    <w:rsid w:val="00285DB2"/>
    <w:rsid w:val="00286996"/>
    <w:rsid w:val="00287D3E"/>
    <w:rsid w:val="002C0D16"/>
    <w:rsid w:val="002C47C1"/>
    <w:rsid w:val="002C6661"/>
    <w:rsid w:val="00363F06"/>
    <w:rsid w:val="00367EF8"/>
    <w:rsid w:val="003C2619"/>
    <w:rsid w:val="003D2BA4"/>
    <w:rsid w:val="0042711C"/>
    <w:rsid w:val="0043546A"/>
    <w:rsid w:val="00473A7B"/>
    <w:rsid w:val="004A70A1"/>
    <w:rsid w:val="004C0758"/>
    <w:rsid w:val="004E75FB"/>
    <w:rsid w:val="004F5CF4"/>
    <w:rsid w:val="00521998"/>
    <w:rsid w:val="00527905"/>
    <w:rsid w:val="005614CB"/>
    <w:rsid w:val="0056548B"/>
    <w:rsid w:val="00570B64"/>
    <w:rsid w:val="005B4069"/>
    <w:rsid w:val="005B50E0"/>
    <w:rsid w:val="0060119D"/>
    <w:rsid w:val="00610B3E"/>
    <w:rsid w:val="0061797C"/>
    <w:rsid w:val="006401E5"/>
    <w:rsid w:val="00642044"/>
    <w:rsid w:val="006458AB"/>
    <w:rsid w:val="00655700"/>
    <w:rsid w:val="006772AF"/>
    <w:rsid w:val="006A0A29"/>
    <w:rsid w:val="006A5BBF"/>
    <w:rsid w:val="006A61AE"/>
    <w:rsid w:val="006B0672"/>
    <w:rsid w:val="006C1392"/>
    <w:rsid w:val="006D15F6"/>
    <w:rsid w:val="007004C8"/>
    <w:rsid w:val="00706A1C"/>
    <w:rsid w:val="007245A2"/>
    <w:rsid w:val="00726D93"/>
    <w:rsid w:val="00744994"/>
    <w:rsid w:val="00745A5B"/>
    <w:rsid w:val="007569F5"/>
    <w:rsid w:val="00765E87"/>
    <w:rsid w:val="007906B8"/>
    <w:rsid w:val="007C7587"/>
    <w:rsid w:val="007D77D6"/>
    <w:rsid w:val="00862F58"/>
    <w:rsid w:val="00881CA8"/>
    <w:rsid w:val="00891E77"/>
    <w:rsid w:val="008B5C88"/>
    <w:rsid w:val="008D3DBB"/>
    <w:rsid w:val="008E539A"/>
    <w:rsid w:val="00921631"/>
    <w:rsid w:val="009412A0"/>
    <w:rsid w:val="00941361"/>
    <w:rsid w:val="00942382"/>
    <w:rsid w:val="00970E62"/>
    <w:rsid w:val="00975E78"/>
    <w:rsid w:val="009B17A0"/>
    <w:rsid w:val="009C6BD5"/>
    <w:rsid w:val="009D7A52"/>
    <w:rsid w:val="009F4E75"/>
    <w:rsid w:val="00A1551F"/>
    <w:rsid w:val="00A349D6"/>
    <w:rsid w:val="00A8599E"/>
    <w:rsid w:val="00AA5738"/>
    <w:rsid w:val="00B14EA9"/>
    <w:rsid w:val="00B403FB"/>
    <w:rsid w:val="00B54C8A"/>
    <w:rsid w:val="00B93DA7"/>
    <w:rsid w:val="00BA1C0F"/>
    <w:rsid w:val="00BC59B3"/>
    <w:rsid w:val="00BD2E63"/>
    <w:rsid w:val="00BD6829"/>
    <w:rsid w:val="00BE082D"/>
    <w:rsid w:val="00BE33FC"/>
    <w:rsid w:val="00BF020F"/>
    <w:rsid w:val="00BF14D9"/>
    <w:rsid w:val="00C04156"/>
    <w:rsid w:val="00C20E8A"/>
    <w:rsid w:val="00C57715"/>
    <w:rsid w:val="00C626DF"/>
    <w:rsid w:val="00C82B5A"/>
    <w:rsid w:val="00C87628"/>
    <w:rsid w:val="00C93172"/>
    <w:rsid w:val="00C94F29"/>
    <w:rsid w:val="00CA1487"/>
    <w:rsid w:val="00CA2AD8"/>
    <w:rsid w:val="00CA307A"/>
    <w:rsid w:val="00CA4B21"/>
    <w:rsid w:val="00CB05B3"/>
    <w:rsid w:val="00CC052C"/>
    <w:rsid w:val="00CE6857"/>
    <w:rsid w:val="00CF37F9"/>
    <w:rsid w:val="00D329E4"/>
    <w:rsid w:val="00D51354"/>
    <w:rsid w:val="00D97051"/>
    <w:rsid w:val="00DA11EB"/>
    <w:rsid w:val="00DB3D24"/>
    <w:rsid w:val="00DC4EB9"/>
    <w:rsid w:val="00E246A4"/>
    <w:rsid w:val="00E40578"/>
    <w:rsid w:val="00E60F30"/>
    <w:rsid w:val="00EA4394"/>
    <w:rsid w:val="00EB6018"/>
    <w:rsid w:val="00ED2504"/>
    <w:rsid w:val="00EE219C"/>
    <w:rsid w:val="00EE6978"/>
    <w:rsid w:val="00EF2DCF"/>
    <w:rsid w:val="00F1630C"/>
    <w:rsid w:val="00F31189"/>
    <w:rsid w:val="00F42FE2"/>
    <w:rsid w:val="00F527F0"/>
    <w:rsid w:val="00F674B1"/>
    <w:rsid w:val="00F71F36"/>
    <w:rsid w:val="00F74F07"/>
    <w:rsid w:val="00F75A1E"/>
    <w:rsid w:val="00FA0087"/>
    <w:rsid w:val="00FE3ED0"/>
    <w:rsid w:val="0238381F"/>
    <w:rsid w:val="067E17CB"/>
    <w:rsid w:val="0B3042AE"/>
    <w:rsid w:val="0C8D33F4"/>
    <w:rsid w:val="0D2B01CA"/>
    <w:rsid w:val="0E106808"/>
    <w:rsid w:val="0F1C2B83"/>
    <w:rsid w:val="10633C64"/>
    <w:rsid w:val="113879FE"/>
    <w:rsid w:val="11CF22D4"/>
    <w:rsid w:val="16E72C91"/>
    <w:rsid w:val="1750557A"/>
    <w:rsid w:val="185A76E4"/>
    <w:rsid w:val="18CF0957"/>
    <w:rsid w:val="19265A7C"/>
    <w:rsid w:val="1B7502B3"/>
    <w:rsid w:val="1BAF2A56"/>
    <w:rsid w:val="1BB8568D"/>
    <w:rsid w:val="1D37409C"/>
    <w:rsid w:val="1F266ED4"/>
    <w:rsid w:val="208D4910"/>
    <w:rsid w:val="21A0391E"/>
    <w:rsid w:val="2367327C"/>
    <w:rsid w:val="24CE3966"/>
    <w:rsid w:val="257B1BE0"/>
    <w:rsid w:val="265D6B6A"/>
    <w:rsid w:val="26AF0377"/>
    <w:rsid w:val="2A520493"/>
    <w:rsid w:val="2DE85100"/>
    <w:rsid w:val="2FEC0F57"/>
    <w:rsid w:val="30A31674"/>
    <w:rsid w:val="324747F1"/>
    <w:rsid w:val="32524316"/>
    <w:rsid w:val="32FC295E"/>
    <w:rsid w:val="33474506"/>
    <w:rsid w:val="33802F3C"/>
    <w:rsid w:val="34D47DB1"/>
    <w:rsid w:val="34FA0307"/>
    <w:rsid w:val="35D560F3"/>
    <w:rsid w:val="37533486"/>
    <w:rsid w:val="3A2F79B2"/>
    <w:rsid w:val="3A634172"/>
    <w:rsid w:val="3ABC3AF1"/>
    <w:rsid w:val="3AD368B1"/>
    <w:rsid w:val="3B7F34F4"/>
    <w:rsid w:val="3B8201E8"/>
    <w:rsid w:val="3C755E79"/>
    <w:rsid w:val="3DD53E9A"/>
    <w:rsid w:val="3FA629CD"/>
    <w:rsid w:val="40BA6E56"/>
    <w:rsid w:val="412304BC"/>
    <w:rsid w:val="42E755DF"/>
    <w:rsid w:val="42F1656F"/>
    <w:rsid w:val="439C238A"/>
    <w:rsid w:val="440743BE"/>
    <w:rsid w:val="454F0CB6"/>
    <w:rsid w:val="464F0963"/>
    <w:rsid w:val="4687387C"/>
    <w:rsid w:val="47B41AAE"/>
    <w:rsid w:val="494A4E52"/>
    <w:rsid w:val="4CAD4B46"/>
    <w:rsid w:val="4D2D3DF9"/>
    <w:rsid w:val="4F593BE1"/>
    <w:rsid w:val="51A713D2"/>
    <w:rsid w:val="563629EB"/>
    <w:rsid w:val="581F2BA3"/>
    <w:rsid w:val="5A0A2FDB"/>
    <w:rsid w:val="5B0276EA"/>
    <w:rsid w:val="5B407895"/>
    <w:rsid w:val="5BFC65F5"/>
    <w:rsid w:val="5C902F93"/>
    <w:rsid w:val="5D0E3CEF"/>
    <w:rsid w:val="5D976DF7"/>
    <w:rsid w:val="5F7D62A6"/>
    <w:rsid w:val="5F91252F"/>
    <w:rsid w:val="5F922389"/>
    <w:rsid w:val="60ED5288"/>
    <w:rsid w:val="627B164B"/>
    <w:rsid w:val="63B31E02"/>
    <w:rsid w:val="63C359DF"/>
    <w:rsid w:val="666437B2"/>
    <w:rsid w:val="668F7D3D"/>
    <w:rsid w:val="671A1871"/>
    <w:rsid w:val="68EA32ED"/>
    <w:rsid w:val="6A1B4F9D"/>
    <w:rsid w:val="6AA623B7"/>
    <w:rsid w:val="6C262BA1"/>
    <w:rsid w:val="6EA83E6A"/>
    <w:rsid w:val="6EDD3573"/>
    <w:rsid w:val="6F5F3308"/>
    <w:rsid w:val="718413B9"/>
    <w:rsid w:val="751D4B03"/>
    <w:rsid w:val="7521072F"/>
    <w:rsid w:val="78BC5321"/>
    <w:rsid w:val="79216FC3"/>
    <w:rsid w:val="7A5828A0"/>
    <w:rsid w:val="7B471410"/>
    <w:rsid w:val="7B8A33AD"/>
    <w:rsid w:val="7D8F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nhideWhenUsed/>
    <w:qFormat/>
    <w:uiPriority w:val="39"/>
    <w:pPr>
      <w:ind w:left="2520" w:leftChars="1200"/>
    </w:pPr>
  </w:style>
  <w:style w:type="paragraph" w:styleId="3">
    <w:name w:val="toc 5"/>
    <w:basedOn w:val="1"/>
    <w:next w:val="1"/>
    <w:unhideWhenUsed/>
    <w:qFormat/>
    <w:uiPriority w:val="39"/>
    <w:pPr>
      <w:ind w:left="1680" w:leftChars="800"/>
    </w:pPr>
  </w:style>
  <w:style w:type="paragraph" w:styleId="4">
    <w:name w:val="toc 3"/>
    <w:basedOn w:val="1"/>
    <w:next w:val="1"/>
    <w:unhideWhenUsed/>
    <w:qFormat/>
    <w:uiPriority w:val="39"/>
    <w:pPr>
      <w:ind w:left="840" w:leftChars="400"/>
    </w:p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unhideWhenUsed/>
    <w:qFormat/>
    <w:uiPriority w:val="39"/>
  </w:style>
  <w:style w:type="paragraph" w:styleId="8">
    <w:name w:val="toc 6"/>
    <w:basedOn w:val="1"/>
    <w:next w:val="1"/>
    <w:unhideWhenUsed/>
    <w:qFormat/>
    <w:uiPriority w:val="39"/>
    <w:pPr>
      <w:ind w:left="2100" w:leftChars="1000"/>
    </w:pPr>
  </w:style>
  <w:style w:type="paragraph" w:styleId="9">
    <w:name w:val="toc 2"/>
    <w:basedOn w:val="1"/>
    <w:next w:val="1"/>
    <w:unhideWhenUsed/>
    <w:qFormat/>
    <w:uiPriority w:val="39"/>
    <w:pPr>
      <w:ind w:left="420" w:leftChars="200"/>
    </w:pPr>
  </w:style>
  <w:style w:type="character" w:styleId="11">
    <w:name w:val="FollowedHyperlink"/>
    <w:basedOn w:val="10"/>
    <w:unhideWhenUsed/>
    <w:qFormat/>
    <w:uiPriority w:val="99"/>
    <w:rPr>
      <w:color w:val="800080"/>
      <w:u w:val="single"/>
    </w:rPr>
  </w:style>
  <w:style w:type="character" w:styleId="12">
    <w:name w:val="Hyperlink"/>
    <w:basedOn w:val="10"/>
    <w:unhideWhenUsed/>
    <w:qFormat/>
    <w:uiPriority w:val="99"/>
    <w:rPr>
      <w:color w:val="0000FF"/>
      <w:u w:val="single"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17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8">
    <w:name w:val="xl29"/>
    <w:basedOn w:val="1"/>
    <w:qFormat/>
    <w:uiPriority w:val="0"/>
    <w:pPr>
      <w:widowControl/>
      <w:spacing w:before="100" w:after="100"/>
      <w:jc w:val="center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6BCDEB-C5C6-4E25-BD87-A285102A83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430</Words>
  <Characters>2452</Characters>
  <Lines>20</Lines>
  <Paragraphs>5</Paragraphs>
  <ScaleCrop>false</ScaleCrop>
  <LinksUpToDate>false</LinksUpToDate>
  <CharactersWithSpaces>2877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2015-08-13T06:51:00Z</dcterms:created>
  <dc:creator>Administrator</dc:creator>
  <cp:lastModifiedBy>成本小林</cp:lastModifiedBy>
  <dcterms:modified xsi:type="dcterms:W3CDTF">2017-11-24T08:06:47Z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